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R4-2503851                         </w:t>
      </w:r>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Wuhan, Hubei, China, 07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11</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 2025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impacts on requirements of AI/ML mobility</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7.21.2.1</w:t>
      </w:r>
    </w:p>
    <w:p>
      <w:pPr>
        <w:pStyle w:val="14"/>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#105 meeting, a revised SID[1] for Rel-19 was approved </w:t>
      </w:r>
      <w:r>
        <w:rPr>
          <w:rFonts w:hint="eastAsia"/>
          <w:lang w:val="en-US" w:eastAsia="zh-CN"/>
        </w:rPr>
        <w:t>to study the AI/ML for mobility in NR. The objectives for RAN4 of this SID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widowControl w:val="0"/>
              <w:numPr>
                <w:ilvl w:val="0"/>
                <w:numId w:val="4"/>
              </w:numPr>
              <w:overflowPunct/>
              <w:autoSpaceDE/>
              <w:autoSpaceDN/>
              <w:adjustRightInd/>
              <w:spacing w:after="0"/>
              <w:ind w:hanging="357"/>
              <w:jc w:val="both"/>
              <w:textAlignment w:val="auto"/>
              <w:rPr>
                <w:bCs/>
                <w:sz w:val="20"/>
                <w:szCs w:val="20"/>
                <w:highlight w:val="none"/>
              </w:rPr>
            </w:pPr>
            <w:bookmarkStart w:id="0" w:name="_Hlk153472406"/>
            <w:r>
              <w:rPr>
                <w:bCs/>
                <w:sz w:val="20"/>
                <w:szCs w:val="20"/>
                <w:highlight w:val="none"/>
                <w:lang w:eastAsia="zh-CN"/>
              </w:rPr>
              <w:t>Evaluate testability, interoperability,</w:t>
            </w:r>
            <w:bookmarkEnd w:id="0"/>
            <w:r>
              <w:rPr>
                <w:bCs/>
                <w:sz w:val="20"/>
                <w:szCs w:val="20"/>
                <w:highlight w:val="none"/>
                <w:lang w:eastAsia="zh-CN"/>
              </w:rPr>
              <w:t xml:space="preserve"> and </w:t>
            </w:r>
            <w:r>
              <w:rPr>
                <w:bCs/>
                <w:sz w:val="20"/>
                <w:szCs w:val="20"/>
                <w:highlight w:val="none"/>
              </w:rPr>
              <w:t>impacts on RRM requirements and performance</w:t>
            </w:r>
            <w:r>
              <w:rPr>
                <w:bCs/>
                <w:sz w:val="20"/>
                <w:szCs w:val="20"/>
                <w:highlight w:val="none"/>
                <w:lang w:eastAsia="zh-CN"/>
              </w:rPr>
              <w:t xml:space="preserve"> [RAN4]</w:t>
            </w:r>
          </w:p>
          <w:p>
            <w:pPr>
              <w:widowControl w:val="0"/>
              <w:numPr>
                <w:ilvl w:val="1"/>
                <w:numId w:val="4"/>
              </w:numPr>
              <w:tabs>
                <w:tab w:val="left" w:pos="720"/>
              </w:tabs>
              <w:overflowPunct/>
              <w:autoSpaceDE/>
              <w:autoSpaceDN/>
              <w:adjustRightInd/>
              <w:spacing w:after="0"/>
              <w:jc w:val="both"/>
              <w:textAlignment w:val="auto"/>
              <w:rPr>
                <w:bCs/>
                <w:sz w:val="20"/>
                <w:szCs w:val="20"/>
                <w:highlight w:val="none"/>
                <w:lang w:val="en-US"/>
              </w:rPr>
            </w:pPr>
            <w:r>
              <w:rPr>
                <w:rFonts w:hint="eastAsia"/>
                <w:bCs/>
                <w:sz w:val="20"/>
                <w:szCs w:val="20"/>
                <w:highlight w:val="none"/>
                <w:u w:val="single"/>
                <w:lang w:val="en-US"/>
              </w:rPr>
              <w:t xml:space="preserve">Study the impacts on requirements based on RAN2 assumptions, and coordinate with RAN2 if needed </w:t>
            </w:r>
          </w:p>
          <w:p>
            <w:pPr>
              <w:widowControl w:val="0"/>
              <w:numPr>
                <w:ilvl w:val="1"/>
                <w:numId w:val="4"/>
              </w:numPr>
              <w:tabs>
                <w:tab w:val="left" w:pos="720"/>
              </w:tabs>
              <w:overflowPunct/>
              <w:autoSpaceDE/>
              <w:autoSpaceDN/>
              <w:adjustRightInd/>
              <w:spacing w:after="0"/>
              <w:jc w:val="both"/>
              <w:textAlignment w:val="auto"/>
              <w:rPr>
                <w:bCs/>
                <w:sz w:val="20"/>
                <w:szCs w:val="20"/>
                <w:highlight w:val="none"/>
                <w:lang w:val="en-US"/>
              </w:rPr>
            </w:pPr>
            <w:r>
              <w:rPr>
                <w:rFonts w:hint="eastAsia"/>
                <w:bCs/>
                <w:sz w:val="20"/>
                <w:szCs w:val="20"/>
                <w:highlight w:val="none"/>
                <w:u w:val="single"/>
                <w:lang w:val="en-US"/>
              </w:rPr>
              <w:t>Study the testability and interoperability based on RAN2 framework (e.g., number of cells to measure, beams etc.)</w:t>
            </w:r>
          </w:p>
          <w:p>
            <w:pPr>
              <w:pStyle w:val="28"/>
              <w:widowControl w:val="0"/>
              <w:numPr>
                <w:ilvl w:val="1"/>
                <w:numId w:val="4"/>
              </w:numPr>
              <w:overflowPunct/>
              <w:autoSpaceDE/>
              <w:autoSpaceDN/>
              <w:adjustRightInd/>
              <w:spacing w:after="0"/>
              <w:ind w:firstLineChars="0"/>
              <w:jc w:val="both"/>
              <w:textAlignment w:val="auto"/>
              <w:rPr>
                <w:bCs/>
                <w:sz w:val="20"/>
                <w:szCs w:val="20"/>
                <w:highlight w:val="none"/>
                <w:lang w:val="en-US"/>
              </w:rPr>
            </w:pPr>
            <w:r>
              <w:rPr>
                <w:rFonts w:hint="eastAsia"/>
                <w:bCs/>
                <w:sz w:val="20"/>
                <w:szCs w:val="20"/>
                <w:highlight w:val="none"/>
                <w:lang w:val="en-US"/>
              </w:rPr>
              <w:t>N</w:t>
            </w:r>
            <w:r>
              <w:rPr>
                <w:bCs/>
                <w:sz w:val="20"/>
                <w:szCs w:val="20"/>
                <w:highlight w:val="none"/>
                <w:lang w:val="en-US"/>
              </w:rPr>
              <w:t>OTE</w:t>
            </w:r>
            <w:r>
              <w:rPr>
                <w:rFonts w:hint="eastAsia"/>
                <w:bCs/>
                <w:sz w:val="20"/>
                <w:szCs w:val="20"/>
                <w:highlight w:val="none"/>
                <w:lang w:val="en-US"/>
              </w:rPr>
              <w:t xml:space="preserve"> </w:t>
            </w:r>
            <w:r>
              <w:rPr>
                <w:bCs/>
                <w:sz w:val="20"/>
                <w:szCs w:val="20"/>
                <w:highlight w:val="none"/>
                <w:lang w:val="en-US"/>
              </w:rPr>
              <w:t>4</w:t>
            </w:r>
            <w:r>
              <w:rPr>
                <w:rFonts w:hint="eastAsia"/>
                <w:bCs/>
                <w:sz w:val="20"/>
                <w:szCs w:val="20"/>
                <w:highlight w:val="none"/>
                <w:lang w:val="en-US"/>
              </w:rPr>
              <w:t xml:space="preserve">: Leverage the work from “AI/ML for NR air interface” led by RAN1 and avoid the duplicate study for testability and interoperability. </w:t>
            </w:r>
          </w:p>
          <w:p>
            <w:pPr>
              <w:pStyle w:val="28"/>
              <w:widowControl w:val="0"/>
              <w:numPr>
                <w:ilvl w:val="1"/>
                <w:numId w:val="4"/>
              </w:numPr>
              <w:overflowPunct/>
              <w:autoSpaceDE/>
              <w:autoSpaceDN/>
              <w:adjustRightInd/>
              <w:spacing w:after="0"/>
              <w:ind w:firstLineChars="0"/>
              <w:jc w:val="both"/>
              <w:textAlignment w:val="auto"/>
              <w:rPr>
                <w:bCs/>
                <w:sz w:val="20"/>
                <w:szCs w:val="20"/>
                <w:highlight w:val="none"/>
                <w:lang w:val="en-US"/>
              </w:rPr>
            </w:pPr>
            <w:r>
              <w:rPr>
                <w:rFonts w:hint="eastAsia"/>
                <w:bCs/>
                <w:sz w:val="20"/>
                <w:szCs w:val="20"/>
                <w:highlight w:val="none"/>
                <w:lang w:val="en-US"/>
              </w:rPr>
              <w:t>N</w:t>
            </w:r>
            <w:r>
              <w:rPr>
                <w:bCs/>
                <w:sz w:val="20"/>
                <w:szCs w:val="20"/>
                <w:highlight w:val="none"/>
                <w:lang w:val="en-US"/>
              </w:rPr>
              <w:t>OTE</w:t>
            </w:r>
            <w:r>
              <w:rPr>
                <w:rFonts w:hint="eastAsia"/>
                <w:bCs/>
                <w:sz w:val="20"/>
                <w:szCs w:val="20"/>
                <w:highlight w:val="none"/>
                <w:lang w:val="en-US"/>
              </w:rPr>
              <w:t xml:space="preserve"> </w:t>
            </w:r>
            <w:r>
              <w:rPr>
                <w:bCs/>
                <w:sz w:val="20"/>
                <w:szCs w:val="20"/>
                <w:highlight w:val="none"/>
                <w:lang w:val="en-US"/>
              </w:rPr>
              <w:t>5</w:t>
            </w:r>
            <w:r>
              <w:rPr>
                <w:rFonts w:hint="eastAsia"/>
                <w:bCs/>
                <w:sz w:val="20"/>
                <w:szCs w:val="20"/>
                <w:highlight w:val="none"/>
                <w:lang w:val="en-US"/>
              </w:rPr>
              <w:t>: Avoid the overlaps with RAN2 work for evaluation</w:t>
            </w:r>
          </w:p>
          <w:p>
            <w:pPr>
              <w:widowControl w:val="0"/>
              <w:overflowPunct/>
              <w:autoSpaceDE/>
              <w:autoSpaceDN/>
              <w:adjustRightInd/>
              <w:spacing w:after="0"/>
              <w:ind w:left="720"/>
              <w:jc w:val="both"/>
              <w:textAlignment w:val="auto"/>
              <w:rPr>
                <w:bCs/>
                <w:sz w:val="20"/>
                <w:szCs w:val="20"/>
                <w:lang w:val="en-US"/>
              </w:rPr>
            </w:pPr>
          </w:p>
          <w:p>
            <w:pPr>
              <w:pStyle w:val="28"/>
              <w:widowControl w:val="0"/>
              <w:numPr>
                <w:ilvl w:val="0"/>
                <w:numId w:val="4"/>
              </w:numPr>
              <w:overflowPunct/>
              <w:autoSpaceDE/>
              <w:autoSpaceDN/>
              <w:adjustRightInd/>
              <w:spacing w:after="0"/>
              <w:ind w:firstLineChars="0"/>
              <w:contextualSpacing/>
              <w:jc w:val="both"/>
              <w:textAlignment w:val="auto"/>
              <w:rPr>
                <w:bCs/>
                <w:sz w:val="20"/>
                <w:szCs w:val="20"/>
                <w:lang w:val="en-US"/>
              </w:rPr>
            </w:pPr>
            <w:r>
              <w:rPr>
                <w:bCs/>
                <w:sz w:val="20"/>
                <w:szCs w:val="20"/>
                <w:lang w:val="en-US"/>
              </w:rPr>
              <w:t>NOTE 1: RAN1/3 work can be triggered via LS</w:t>
            </w:r>
          </w:p>
          <w:p>
            <w:pPr>
              <w:widowControl w:val="0"/>
              <w:overflowPunct/>
              <w:autoSpaceDE/>
              <w:autoSpaceDN/>
              <w:adjustRightInd/>
              <w:spacing w:after="0"/>
              <w:ind w:left="720"/>
              <w:jc w:val="both"/>
              <w:textAlignment w:val="auto"/>
              <w:rPr>
                <w:bCs/>
                <w:sz w:val="20"/>
                <w:szCs w:val="20"/>
                <w:lang w:val="en-US"/>
              </w:rPr>
            </w:pPr>
            <w:r>
              <w:rPr>
                <w:bCs/>
                <w:sz w:val="20"/>
                <w:szCs w:val="20"/>
                <w:lang w:val="en-US"/>
              </w:rPr>
              <w:t xml:space="preserve">NOTE 2: </w:t>
            </w:r>
            <w:r>
              <w:rPr>
                <w:bCs/>
                <w:sz w:val="20"/>
                <w:szCs w:val="20"/>
              </w:rPr>
              <w:t>To avoid duplicate study with “AI/ML for NG-RAN” led by RAN3</w:t>
            </w:r>
          </w:p>
          <w:p>
            <w:pPr>
              <w:widowControl w:val="0"/>
              <w:overflowPunct/>
              <w:autoSpaceDE/>
              <w:autoSpaceDN/>
              <w:adjustRightInd/>
              <w:spacing w:after="0"/>
              <w:ind w:left="720"/>
              <w:jc w:val="both"/>
              <w:textAlignment w:val="auto"/>
              <w:rPr>
                <w:bCs/>
                <w:szCs w:val="20"/>
              </w:rPr>
            </w:pPr>
            <w:r>
              <w:rPr>
                <w:bCs/>
                <w:sz w:val="20"/>
                <w:szCs w:val="20"/>
                <w:lang w:val="en-US"/>
              </w:rPr>
              <w:t>NOTE 3: Two-sided model is not included</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views on </w:t>
      </w:r>
      <w:r>
        <w:rPr>
          <w:rFonts w:hint="eastAsia"/>
          <w:bCs/>
          <w:sz w:val="20"/>
          <w:szCs w:val="20"/>
          <w:u w:val="none"/>
          <w:lang w:val="en-US"/>
        </w:rPr>
        <w:t>requirements</w:t>
      </w:r>
      <w:r>
        <w:rPr>
          <w:rFonts w:hint="eastAsia" w:eastAsia="宋体"/>
          <w:bCs/>
          <w:sz w:val="20"/>
          <w:szCs w:val="20"/>
          <w:u w:val="none"/>
          <w:lang w:val="en-US" w:eastAsia="zh-CN"/>
        </w:rPr>
        <w:t xml:space="preserve"> </w:t>
      </w:r>
      <w:r>
        <w:rPr>
          <w:rFonts w:hint="eastAsia"/>
          <w:bCs/>
          <w:sz w:val="20"/>
          <w:szCs w:val="20"/>
          <w:u w:val="none"/>
          <w:lang w:val="en-US"/>
        </w:rPr>
        <w:t>impacts based on RAN2 assumptions</w:t>
      </w:r>
      <w:r>
        <w:rPr>
          <w:rFonts w:hint="eastAsia" w:eastAsia="宋体"/>
          <w:color w:val="auto"/>
          <w:sz w:val="20"/>
          <w:szCs w:val="20"/>
          <w:lang w:val="en-US" w:eastAsia="zh-CN"/>
        </w:rPr>
        <w:t xml:space="preserve"> of AI/ML for mobility from the RRM perspective. </w:t>
      </w:r>
      <w:bookmarkStart w:id="2" w:name="_GoBack"/>
      <w:bookmarkEnd w:id="2"/>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before="0" w:beforeLines="0" w:after="157" w:afterLines="50"/>
        <w:rPr>
          <w:rFonts w:hint="default"/>
          <w:iCs/>
          <w:lang w:val="en-US" w:eastAsia="zh-CN"/>
        </w:rPr>
      </w:pPr>
      <w:r>
        <w:rPr>
          <w:rFonts w:hint="eastAsia"/>
          <w:iCs/>
          <w:lang w:val="en-US" w:eastAsia="zh-CN"/>
        </w:rPr>
        <w:t>In previous meeting, we discussed the priorities of different use cases and have reached consensus that RAN4 to start the discussion with RRM measurement prediction use-case [2]. For measurement event prediction use-case and RLF use-case, more progress is needed from RAN2, and RAN4 to only start the discussion of Measurement event prediction use-case and RLF use-case if sufficient progress in RAN2. In our understanding, the current focus should continue to be on RRM measurement prediction, and we provide our views on RRM impact on RRM measurement prediction use-case in the follow.</w:t>
      </w:r>
    </w:p>
    <w:p>
      <w:pPr>
        <w:pStyle w:val="57"/>
        <w:spacing w:before="0" w:beforeLines="0" w:after="157" w:afterLines="50"/>
        <w:ind w:left="0" w:firstLine="0"/>
        <w:rPr>
          <w:rFonts w:hint="eastAsia" w:eastAsia="宋体"/>
          <w:lang w:val="en-US" w:eastAsia="zh-CN"/>
        </w:rPr>
      </w:pPr>
      <w:r>
        <w:rPr>
          <w:rFonts w:hint="eastAsia"/>
          <w:szCs w:val="20"/>
          <w:lang w:val="en-US" w:eastAsia="zh-CN"/>
        </w:rPr>
        <w:t>It</w:t>
      </w:r>
      <w:r>
        <w:rPr>
          <w:rFonts w:hint="default"/>
          <w:szCs w:val="20"/>
          <w:lang w:val="en-US" w:eastAsia="zh-CN"/>
        </w:rPr>
        <w:t>’</w:t>
      </w:r>
      <w:r>
        <w:rPr>
          <w:rFonts w:hint="eastAsia"/>
          <w:szCs w:val="20"/>
          <w:lang w:val="en-US" w:eastAsia="zh-CN"/>
        </w:rPr>
        <w:t xml:space="preserve">s noted that both cell level measurement prediction and beam level measurement prediction are within the scope of RRM measurement prediction. </w:t>
      </w:r>
      <w:r>
        <w:rPr>
          <w:rFonts w:hint="eastAsia" w:eastAsia="宋体"/>
          <w:color w:val="auto"/>
          <w:lang w:val="en-US" w:eastAsia="zh-CN"/>
        </w:rPr>
        <w:t xml:space="preserve">We can observe that there are three cases need to be considered for cell level measurement. For case 1, beam level results are predicted first and then cell level results are derived. For case 2 and case 3, cell level results are predicted directly. </w:t>
      </w:r>
      <w:r>
        <w:rPr>
          <w:rFonts w:hint="eastAsia" w:eastAsia="宋体"/>
          <w:lang w:val="en-US" w:eastAsia="zh-CN"/>
        </w:rPr>
        <w:t xml:space="preserve">For beam level measurement prediction, under the discussion in RAN2, </w:t>
      </w:r>
      <w:r>
        <w:rPr>
          <w:rFonts w:hint="eastAsia"/>
        </w:rPr>
        <w:t>L3 filtered beam level prediction cases are lower priority</w:t>
      </w:r>
      <w:r>
        <w:rPr>
          <w:rFonts w:hint="eastAsia" w:eastAsia="宋体"/>
          <w:lang w:val="en-US" w:eastAsia="zh-CN"/>
        </w:rPr>
        <w:t xml:space="preserve"> and there are three cases as well.</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8"/>
              <w:numPr>
                <w:ilvl w:val="-1"/>
                <w:numId w:val="0"/>
              </w:numPr>
              <w:ind w:left="0" w:firstLine="0"/>
              <w:rPr>
                <w:i w:val="0"/>
                <w:iCs/>
              </w:rPr>
            </w:pPr>
            <w:r>
              <w:rPr>
                <w:rFonts w:hint="eastAsia"/>
              </w:rPr>
              <w:t xml:space="preserve">=&gt; </w:t>
            </w:r>
            <w:r>
              <w:rPr>
                <w:rFonts w:hint="eastAsia"/>
                <w:i w:val="0"/>
                <w:iCs/>
              </w:rPr>
              <w:t>Cell level measurement prediction model</w:t>
            </w:r>
          </w:p>
          <w:p>
            <w:pPr>
              <w:pStyle w:val="58"/>
              <w:ind w:left="362" w:leftChars="100" w:hanging="162" w:hangingChars="81"/>
              <w:rPr>
                <w:i w:val="0"/>
                <w:iCs/>
              </w:rPr>
            </w:pPr>
            <w:r>
              <w:rPr>
                <w:i w:val="0"/>
                <w:iCs/>
              </w:rPr>
              <w:t>For cell level measurement prediction model, at least consider the following cases:</w:t>
            </w:r>
          </w:p>
          <w:p>
            <w:pPr>
              <w:pStyle w:val="58"/>
              <w:ind w:left="726"/>
              <w:rPr>
                <w:i w:val="0"/>
                <w:iCs/>
              </w:rPr>
            </w:pPr>
            <w:r>
              <w:rPr>
                <w:i w:val="0"/>
                <w:iCs/>
              </w:rPr>
              <w:t xml:space="preserve">Case 1: To predict beam level results, then generate cell level results based on the predicted beam results; </w:t>
            </w:r>
          </w:p>
          <w:p>
            <w:pPr>
              <w:pStyle w:val="58"/>
              <w:ind w:left="726"/>
              <w:rPr>
                <w:i w:val="0"/>
                <w:iCs/>
              </w:rPr>
            </w:pPr>
            <w:r>
              <w:rPr>
                <w:i w:val="0"/>
                <w:iCs/>
              </w:rPr>
              <w:t>Case 2: To directly predict cell level results based on cell level results.</w:t>
            </w:r>
          </w:p>
          <w:p>
            <w:pPr>
              <w:pStyle w:val="57"/>
              <w:ind w:left="726"/>
            </w:pPr>
            <w:r>
              <w:t xml:space="preserve">Case 3: To directly predict cell level results based on beam level results </w:t>
            </w:r>
          </w:p>
          <w:p>
            <w:pPr>
              <w:pStyle w:val="57"/>
              <w:ind w:left="726"/>
              <w:rPr>
                <w:rFonts w:hint="eastAsia"/>
              </w:rPr>
            </w:pPr>
          </w:p>
          <w:p>
            <w:pPr>
              <w:pStyle w:val="57"/>
              <w:numPr>
                <w:ilvl w:val="-1"/>
                <w:numId w:val="0"/>
              </w:numPr>
              <w:ind w:left="0" w:firstLine="0"/>
              <w:rPr>
                <w:rFonts w:hint="eastAsia"/>
              </w:rPr>
            </w:pPr>
            <w:r>
              <w:rPr>
                <w:rFonts w:hint="eastAsia"/>
              </w:rPr>
              <w:t xml:space="preserve">=&gt; Companies can consider to do L3 filtered beam level results for any of this cases.  L3 filtered beam level prediction cases are lower priority.  </w:t>
            </w:r>
          </w:p>
          <w:p>
            <w:pPr>
              <w:pStyle w:val="57"/>
              <w:ind w:left="726"/>
              <w:rPr>
                <w:rFonts w:hint="eastAsia"/>
              </w:rPr>
            </w:pPr>
            <w:r>
              <w:rPr>
                <w:rFonts w:hint="eastAsia"/>
              </w:rPr>
              <w:t>Case 1: To predict L1 filtered beam level results, then generate L3 filtered results based on the predicted L1 beam results.</w:t>
            </w:r>
          </w:p>
          <w:p>
            <w:pPr>
              <w:pStyle w:val="57"/>
              <w:ind w:left="726"/>
              <w:rPr>
                <w:rFonts w:hint="eastAsia"/>
              </w:rPr>
            </w:pPr>
            <w:r>
              <w:rPr>
                <w:rFonts w:hint="eastAsia"/>
              </w:rPr>
              <w:t>Case 2: To directly predict L3 filtered beam level results based on the L3 beam level measurement results.</w:t>
            </w:r>
          </w:p>
          <w:p>
            <w:pPr>
              <w:pStyle w:val="57"/>
              <w:ind w:left="726"/>
              <w:rPr>
                <w:rFonts w:hint="eastAsia"/>
              </w:rPr>
            </w:pPr>
            <w:r>
              <w:rPr>
                <w:rFonts w:hint="eastAsia"/>
              </w:rPr>
              <w:t>Case 3: To directly predict L3 filtered beam level results based on the L1 beam level measurement results.</w:t>
            </w:r>
          </w:p>
          <w:p>
            <w:pPr>
              <w:pStyle w:val="57"/>
              <w:numPr>
                <w:ilvl w:val="-1"/>
                <w:numId w:val="0"/>
              </w:numPr>
              <w:ind w:left="0" w:firstLine="0"/>
            </w:pPr>
          </w:p>
        </w:tc>
      </w:tr>
    </w:tbl>
    <w:p>
      <w:pPr>
        <w:spacing w:after="157" w:afterLines="50"/>
        <w:rPr>
          <w:rFonts w:hint="eastAsia"/>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In the pervious meeting, we have reached agreement that define requirement for L3 cell level RSRP prediction, and further dicussion is needed for L1 beam-level and L3 beam-level.</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9"/>
              <w:rPr>
                <w:rFonts w:hint="default" w:eastAsia="宋体"/>
                <w:b/>
                <w:bCs/>
                <w:u w:val="single"/>
                <w:lang w:val="en-US" w:eastAsia="zh-CN"/>
              </w:rPr>
            </w:pPr>
            <w:r>
              <w:rPr>
                <w:rFonts w:hint="eastAsia" w:eastAsia="宋体"/>
                <w:b/>
                <w:bCs/>
                <w:u w:val="single"/>
                <w:lang w:val="en-US" w:eastAsia="zh-CN"/>
              </w:rPr>
              <w:t>Agreement on RAN4#112bis</w:t>
            </w:r>
          </w:p>
          <w:p>
            <w:pPr>
              <w:pStyle w:val="59"/>
              <w:rPr>
                <w:b/>
                <w:bCs/>
                <w:u w:val="single"/>
                <w:lang w:val="en-US"/>
              </w:rPr>
            </w:pPr>
            <w:r>
              <w:rPr>
                <w:b/>
                <w:bCs/>
                <w:u w:val="single"/>
                <w:lang w:val="en-US"/>
              </w:rPr>
              <w:t>Issue 2-1-1: Performance Metrics/KPIs for Measurement Prediction use case</w:t>
            </w:r>
          </w:p>
          <w:p>
            <w:pPr>
              <w:snapToGrid w:val="0"/>
              <w:spacing w:after="120"/>
              <w:rPr>
                <w:sz w:val="21"/>
                <w:szCs w:val="21"/>
                <w:highlight w:val="green"/>
                <w:lang w:eastAsia="zh-CN"/>
              </w:rPr>
            </w:pPr>
            <w:r>
              <w:rPr>
                <w:rFonts w:hint="eastAsia"/>
                <w:sz w:val="21"/>
                <w:szCs w:val="21"/>
                <w:highlight w:val="green"/>
                <w:lang w:eastAsia="zh-CN"/>
              </w:rPr>
              <w:t>A</w:t>
            </w:r>
            <w:r>
              <w:rPr>
                <w:sz w:val="21"/>
                <w:szCs w:val="21"/>
                <w:highlight w:val="green"/>
                <w:lang w:eastAsia="zh-CN"/>
              </w:rPr>
              <w:t>greement:</w:t>
            </w:r>
          </w:p>
          <w:p>
            <w:pPr>
              <w:pStyle w:val="28"/>
              <w:numPr>
                <w:ilvl w:val="0"/>
                <w:numId w:val="5"/>
              </w:numPr>
              <w:overflowPunct/>
              <w:autoSpaceDE/>
              <w:autoSpaceDN/>
              <w:adjustRightInd/>
              <w:snapToGrid w:val="0"/>
              <w:spacing w:after="120"/>
              <w:ind w:firstLineChars="0"/>
              <w:textAlignment w:val="auto"/>
              <w:rPr>
                <w:szCs w:val="21"/>
                <w:highlight w:val="green"/>
              </w:rPr>
            </w:pPr>
            <w:r>
              <w:rPr>
                <w:szCs w:val="21"/>
                <w:highlight w:val="green"/>
              </w:rPr>
              <w:t xml:space="preserve">RAN4 to first study the </w:t>
            </w:r>
            <w:r>
              <w:rPr>
                <w:rFonts w:hint="eastAsia"/>
                <w:bCs/>
                <w:szCs w:val="21"/>
                <w:highlight w:val="green"/>
              </w:rPr>
              <w:t>impacts on requirements</w:t>
            </w:r>
            <w:r>
              <w:rPr>
                <w:szCs w:val="21"/>
                <w:highlight w:val="green"/>
              </w:rPr>
              <w:t xml:space="preserve"> for the following case:</w:t>
            </w:r>
          </w:p>
          <w:p>
            <w:pPr>
              <w:pStyle w:val="28"/>
              <w:numPr>
                <w:ilvl w:val="1"/>
                <w:numId w:val="5"/>
              </w:numPr>
              <w:overflowPunct/>
              <w:autoSpaceDE/>
              <w:autoSpaceDN/>
              <w:adjustRightInd/>
              <w:snapToGrid w:val="0"/>
              <w:spacing w:after="120"/>
              <w:ind w:firstLineChars="0"/>
              <w:textAlignment w:val="auto"/>
              <w:rPr>
                <w:szCs w:val="21"/>
                <w:highlight w:val="green"/>
              </w:rPr>
            </w:pPr>
            <w:r>
              <w:rPr>
                <w:szCs w:val="21"/>
                <w:highlight w:val="green"/>
              </w:rPr>
              <w:t>L3 cell level RSRP (Point C) prediction</w:t>
            </w:r>
          </w:p>
          <w:p>
            <w:pPr>
              <w:pStyle w:val="28"/>
              <w:numPr>
                <w:ilvl w:val="1"/>
                <w:numId w:val="5"/>
              </w:numPr>
              <w:overflowPunct/>
              <w:autoSpaceDE/>
              <w:autoSpaceDN/>
              <w:adjustRightInd/>
              <w:snapToGrid w:val="0"/>
              <w:spacing w:after="120"/>
              <w:ind w:firstLineChars="0"/>
              <w:textAlignment w:val="auto"/>
              <w:rPr>
                <w:szCs w:val="21"/>
                <w:highlight w:val="green"/>
              </w:rPr>
            </w:pPr>
            <w:r>
              <w:rPr>
                <w:rFonts w:hint="eastAsia"/>
                <w:szCs w:val="21"/>
                <w:highlight w:val="green"/>
              </w:rPr>
              <w:t>F</w:t>
            </w:r>
            <w:r>
              <w:rPr>
                <w:szCs w:val="21"/>
                <w:highlight w:val="green"/>
              </w:rPr>
              <w:t>FS L1 beam-level (Point A</w:t>
            </w:r>
            <w:r>
              <w:rPr>
                <w:szCs w:val="21"/>
                <w:highlight w:val="green"/>
                <w:vertAlign w:val="superscript"/>
              </w:rPr>
              <w:t>1</w:t>
            </w:r>
            <w:r>
              <w:rPr>
                <w:szCs w:val="21"/>
                <w:highlight w:val="green"/>
              </w:rPr>
              <w:t>)</w:t>
            </w:r>
          </w:p>
          <w:p>
            <w:pPr>
              <w:pStyle w:val="28"/>
              <w:numPr>
                <w:ilvl w:val="1"/>
                <w:numId w:val="5"/>
              </w:numPr>
              <w:overflowPunct/>
              <w:autoSpaceDE/>
              <w:autoSpaceDN/>
              <w:adjustRightInd/>
              <w:snapToGrid w:val="0"/>
              <w:spacing w:after="120"/>
              <w:ind w:firstLineChars="0"/>
              <w:textAlignment w:val="auto"/>
              <w:rPr>
                <w:szCs w:val="21"/>
                <w:highlight w:val="green"/>
              </w:rPr>
            </w:pPr>
            <w:r>
              <w:rPr>
                <w:szCs w:val="21"/>
                <w:highlight w:val="green"/>
              </w:rPr>
              <w:t>FFS L3 beam-level (Point E)</w:t>
            </w:r>
          </w:p>
          <w:p>
            <w:pPr>
              <w:pStyle w:val="28"/>
              <w:numPr>
                <w:ilvl w:val="1"/>
                <w:numId w:val="5"/>
              </w:numPr>
              <w:overflowPunct/>
              <w:autoSpaceDE/>
              <w:autoSpaceDN/>
              <w:adjustRightInd/>
              <w:snapToGrid w:val="0"/>
              <w:spacing w:after="120"/>
              <w:ind w:firstLineChars="0"/>
              <w:textAlignment w:val="auto"/>
              <w:rPr>
                <w:szCs w:val="21"/>
                <w:highlight w:val="green"/>
              </w:rPr>
            </w:pPr>
            <w:r>
              <w:rPr>
                <w:szCs w:val="21"/>
                <w:highlight w:val="green"/>
              </w:rPr>
              <w:t>Other cases can be considered based on RAN4 further discussion and RAN2 further progress.</w:t>
            </w:r>
          </w:p>
          <w:p>
            <w:pPr>
              <w:pStyle w:val="57"/>
              <w:numPr>
                <w:ilvl w:val="-1"/>
                <w:numId w:val="0"/>
              </w:numPr>
              <w:ind w:left="0" w:firstLine="0"/>
            </w:pPr>
          </w:p>
        </w:tc>
      </w:tr>
    </w:tbl>
    <w:p>
      <w:pPr>
        <w:spacing w:after="157" w:afterLines="50"/>
        <w:rPr>
          <w:rFonts w:hint="eastAsia" w:eastAsia="宋体"/>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 xml:space="preserve">In the current test case for delay and accuracy, the results for A1 and C are the same if the filtering is closed in test case. Meanwhile, some company mentioned that L1-RSRP is for beam management and perfers not to consider point A1 in AI mobility. If we follow the discussion of sub cases in RAN2, we think that the prediction accuracy of point A1 is necessary. However, we need to discuss from the perspective of RAN4 whether there is a difference between point A1 and point C. For testing, if use a single Tx beam and filtering is closed, </w:t>
      </w:r>
      <w:r>
        <w:rPr>
          <w:rFonts w:eastAsia="Yu Mincho"/>
        </w:rPr>
        <w:t>point A1 equivalent to C</w:t>
      </w:r>
      <w:r>
        <w:rPr>
          <w:rFonts w:hint="eastAsia" w:eastAsia="宋体"/>
          <w:lang w:val="en-US" w:eastAsia="zh-CN"/>
        </w:rPr>
        <w:t>.</w:t>
      </w:r>
    </w:p>
    <w:p>
      <w:pPr>
        <w:spacing w:after="157" w:afterLines="50"/>
        <w:rPr>
          <w:rFonts w:hint="eastAsia"/>
          <w:b/>
          <w:bCs/>
          <w:color w:val="000000" w:themeColor="text1"/>
          <w:lang w:val="en-US" w:eastAsia="zh-CN"/>
          <w14:textFill>
            <w14:solidFill>
              <w14:schemeClr w14:val="tx1"/>
            </w14:solidFill>
          </w14:textFill>
        </w:rPr>
      </w:pPr>
      <w:r>
        <w:rPr>
          <w:rFonts w:ascii="微软雅黑" w:hAnsi="微软雅黑" w:eastAsia="微软雅黑"/>
          <w:color w:val="0000FF"/>
          <w:sz w:val="19"/>
          <w:szCs w:val="19"/>
          <w:lang w:val="en-US" w:eastAsia="zh-CN"/>
        </w:rPr>
        <w:drawing>
          <wp:inline distT="0" distB="0" distL="0" distR="0">
            <wp:extent cx="5737860" cy="2819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737860" cy="2819400"/>
                    </a:xfrm>
                    <a:prstGeom prst="rect">
                      <a:avLst/>
                    </a:prstGeom>
                    <a:noFill/>
                    <a:ln>
                      <a:noFill/>
                    </a:ln>
                  </pic:spPr>
                </pic:pic>
              </a:graphicData>
            </a:graphic>
          </wp:inline>
        </w:drawing>
      </w:r>
    </w:p>
    <w:p>
      <w:pPr>
        <w:pStyle w:val="57"/>
        <w:spacing w:before="0" w:beforeLines="0" w:after="157" w:afterLines="50"/>
        <w:ind w:left="0" w:firstLine="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Proposal 1: RAN4 should discuss whether prediction accuracy requirement defined at point C could be used for point A1.</w:t>
      </w:r>
    </w:p>
    <w:p>
      <w:pPr>
        <w:spacing w:before="0" w:beforeLines="0" w:after="157" w:afterLines="50"/>
        <w:ind w:left="0"/>
        <w:rPr>
          <w:rFonts w:hint="eastAsia"/>
          <w:b w:val="0"/>
          <w:bCs w:val="0"/>
          <w:szCs w:val="20"/>
          <w:lang w:val="en-US" w:eastAsia="zh-CN"/>
        </w:rPr>
      </w:pPr>
      <w:r>
        <w:rPr>
          <w:rFonts w:hint="eastAsia"/>
          <w:b w:val="0"/>
          <w:bCs w:val="0"/>
          <w:color w:val="000000" w:themeColor="text1"/>
          <w:lang w:val="en-US" w:eastAsia="zh-CN"/>
          <w14:textFill>
            <w14:solidFill>
              <w14:schemeClr w14:val="tx1"/>
            </w14:solidFill>
          </w14:textFill>
        </w:rPr>
        <w:t xml:space="preserve">As to point E, which is related to beam level measurement prediction, </w:t>
      </w:r>
      <w:r>
        <w:rPr>
          <w:rFonts w:hint="eastAsia"/>
          <w:b w:val="0"/>
          <w:bCs w:val="0"/>
          <w:szCs w:val="20"/>
          <w:lang w:val="en-US" w:eastAsia="zh-CN"/>
        </w:rPr>
        <w:t>we should discuss whether to support beam level measurement prediction in RAN4 first. According to RAN2</w:t>
      </w:r>
      <w:r>
        <w:rPr>
          <w:rFonts w:hint="default"/>
          <w:b w:val="0"/>
          <w:bCs w:val="0"/>
          <w:szCs w:val="20"/>
          <w:lang w:val="en-US" w:eastAsia="zh-CN"/>
        </w:rPr>
        <w:t>’</w:t>
      </w:r>
      <w:r>
        <w:rPr>
          <w:rFonts w:hint="eastAsia"/>
          <w:b w:val="0"/>
          <w:bCs w:val="0"/>
          <w:szCs w:val="20"/>
          <w:lang w:val="en-US" w:eastAsia="zh-CN"/>
        </w:rPr>
        <w:t xml:space="preserve">s agreement, L3 filtered beam level prediction cases are lower priority and companies should focus on FR2-to-FR2 intra-frequency temporal domain prediction caseA (scenario 4). Therefore, RAN4 should deprioritize the beam level measurement prediction. </w:t>
      </w:r>
    </w:p>
    <w:p>
      <w:pPr>
        <w:pStyle w:val="57"/>
        <w:spacing w:before="0" w:beforeLines="0" w:after="157" w:afterLines="50"/>
        <w:ind w:left="0" w:firstLine="0"/>
        <w:rPr>
          <w:rFonts w:hint="eastAsia"/>
          <w:b/>
          <w:bCs/>
          <w:szCs w:val="20"/>
          <w:lang w:val="en-US" w:eastAsia="zh-CN"/>
        </w:rPr>
      </w:pPr>
      <w:r>
        <w:rPr>
          <w:rFonts w:hint="eastAsia"/>
          <w:b/>
          <w:bCs/>
          <w:szCs w:val="20"/>
          <w:lang w:val="en-US" w:eastAsia="zh-CN"/>
        </w:rPr>
        <w:t>Observation1: Both cell level measurement prediction and beam level measurement prediction are within the scope of RRM measurement prediction. And according to RAN2</w:t>
      </w:r>
      <w:r>
        <w:rPr>
          <w:rFonts w:hint="default"/>
          <w:b/>
          <w:bCs/>
          <w:szCs w:val="20"/>
          <w:lang w:val="en-US" w:eastAsia="zh-CN"/>
        </w:rPr>
        <w:t>’</w:t>
      </w:r>
      <w:r>
        <w:rPr>
          <w:rFonts w:hint="eastAsia"/>
          <w:b/>
          <w:bCs/>
          <w:szCs w:val="20"/>
          <w:lang w:val="en-US" w:eastAsia="zh-CN"/>
        </w:rPr>
        <w:t xml:space="preserve">s agreements, </w:t>
      </w:r>
      <w:r>
        <w:rPr>
          <w:rFonts w:hint="eastAsia"/>
          <w:b/>
          <w:bCs/>
        </w:rPr>
        <w:t>L3 filtered beam level prediction cases are lower priority</w:t>
      </w:r>
      <w:r>
        <w:rPr>
          <w:rFonts w:hint="eastAsia"/>
          <w:b/>
          <w:bCs/>
          <w:szCs w:val="20"/>
          <w:lang w:val="en-US" w:eastAsia="zh-CN"/>
        </w:rPr>
        <w:t xml:space="preserve"> and companies should focus on FR2-to-FR2 intra-frequency temporal domain prediction caseA (scenario 4).</w:t>
      </w:r>
    </w:p>
    <w:p>
      <w:pPr>
        <w:pStyle w:val="57"/>
        <w:spacing w:beforeLines="0" w:after="157" w:afterLines="50"/>
        <w:ind w:left="0" w:firstLine="0"/>
        <w:rPr>
          <w:rFonts w:hint="eastAsia" w:eastAsia="宋体"/>
          <w:b/>
          <w:bCs/>
          <w:lang w:val="en-US" w:eastAsia="zh-CN"/>
        </w:rPr>
      </w:pPr>
      <w:r>
        <w:rPr>
          <w:rFonts w:hint="eastAsia" w:eastAsia="宋体"/>
          <w:b/>
          <w:bCs/>
          <w:lang w:val="en-US" w:eastAsia="zh-CN"/>
        </w:rPr>
        <w:t>Proposal 2：RAN4 to deprioritize studying the impacts on requirements for L3 beam-level prediction, the definition of prediction accuracy for point E will correspondingly be given low priority.</w:t>
      </w:r>
    </w:p>
    <w:p>
      <w:pPr>
        <w:pStyle w:val="57"/>
        <w:spacing w:beforeLines="0" w:after="157" w:afterLines="50"/>
        <w:ind w:left="0" w:firstLine="0"/>
        <w:rPr>
          <w:rFonts w:hint="eastAsia" w:eastAsia="宋体"/>
          <w:b w:val="0"/>
          <w:bCs w:val="0"/>
          <w:color w:val="auto"/>
          <w:sz w:val="20"/>
          <w:szCs w:val="20"/>
          <w:highlight w:val="none"/>
          <w:lang w:val="en-US" w:eastAsia="zh-CN"/>
        </w:rPr>
      </w:pPr>
      <w:r>
        <w:rPr>
          <w:rFonts w:hint="eastAsia" w:eastAsia="宋体"/>
          <w:b w:val="0"/>
          <w:bCs w:val="0"/>
          <w:color w:val="auto"/>
          <w:lang w:val="en-US" w:eastAsia="zh-CN"/>
        </w:rPr>
        <w:t xml:space="preserve">For measurement prediction accuracy of cell-level measurement prediction, metrics for </w:t>
      </w:r>
      <w:r>
        <w:rPr>
          <w:rFonts w:eastAsia="Yu Mincho"/>
          <w:b w:val="0"/>
          <w:bCs w:val="0"/>
        </w:rPr>
        <w:t>measurement prediction accuracy</w:t>
      </w:r>
      <w:r>
        <w:rPr>
          <w:rFonts w:hint="eastAsia" w:eastAsia="宋体"/>
          <w:b w:val="0"/>
          <w:bCs w:val="0"/>
          <w:color w:val="auto"/>
          <w:lang w:val="en-US" w:eastAsia="zh-CN"/>
        </w:rPr>
        <w:t xml:space="preserve"> defined in RAN2 </w:t>
      </w:r>
      <w:r>
        <w:rPr>
          <w:rFonts w:hint="eastAsia" w:eastAsia="宋体"/>
          <w:b w:val="0"/>
          <w:bCs w:val="0"/>
          <w:color w:val="auto"/>
          <w:highlight w:val="none"/>
          <w:lang w:val="en-US" w:eastAsia="zh-CN"/>
        </w:rPr>
        <w:t>can be used as start point</w:t>
      </w:r>
      <w:r>
        <w:rPr>
          <w:rFonts w:hint="eastAsia" w:eastAsia="宋体"/>
          <w:b w:val="0"/>
          <w:bCs w:val="0"/>
          <w:color w:val="auto"/>
          <w:sz w:val="20"/>
          <w:szCs w:val="20"/>
          <w:highlight w:val="none"/>
          <w:lang w:val="en-US" w:eastAsia="zh-CN"/>
        </w:rPr>
        <w:t>. In the last meeting, we have discuss this issue online and reached consensus blew.</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rPr>
                <w:rFonts w:eastAsia="MS Mincho"/>
                <w:b/>
                <w:bCs/>
                <w:sz w:val="22"/>
                <w:szCs w:val="24"/>
                <w:u w:val="single"/>
                <w:lang w:eastAsia="zh-CN"/>
              </w:rPr>
            </w:pPr>
            <w:r>
              <w:rPr>
                <w:rFonts w:eastAsia="MS Mincho"/>
                <w:b/>
                <w:bCs/>
                <w:sz w:val="22"/>
                <w:szCs w:val="24"/>
                <w:u w:val="single"/>
                <w:lang w:eastAsia="zh-CN"/>
              </w:rPr>
              <w:t>Issue 2-1-1a: Relative RSRP Prediction Accuracy</w:t>
            </w:r>
          </w:p>
          <w:p>
            <w:pPr>
              <w:spacing w:after="120"/>
              <w:rPr>
                <w:color w:val="000000" w:themeColor="text1"/>
                <w:szCs w:val="24"/>
                <w:highlight w:val="green"/>
                <w:lang w:eastAsia="zh-CN"/>
                <w14:textFill>
                  <w14:solidFill>
                    <w14:schemeClr w14:val="tx1"/>
                  </w14:solidFill>
                </w14:textFill>
              </w:rPr>
            </w:pPr>
            <w:r>
              <w:rPr>
                <w:color w:val="000000" w:themeColor="text1"/>
                <w:szCs w:val="24"/>
                <w:highlight w:val="green"/>
                <w:lang w:eastAsia="zh-CN"/>
                <w14:textFill>
                  <w14:solidFill>
                    <w14:schemeClr w14:val="tx1"/>
                  </w14:solidFill>
                </w14:textFill>
              </w:rPr>
              <w:t>Agreement:</w:t>
            </w:r>
          </w:p>
          <w:p>
            <w:pPr>
              <w:pStyle w:val="28"/>
              <w:numPr>
                <w:ilvl w:val="0"/>
                <w:numId w:val="5"/>
              </w:numPr>
              <w:ind w:firstLineChars="0"/>
              <w:rPr>
                <w:rFonts w:eastAsia="Yu Mincho"/>
                <w:highlight w:val="green"/>
              </w:rPr>
            </w:pPr>
            <w:r>
              <w:rPr>
                <w:rFonts w:eastAsia="Yu Mincho"/>
                <w:highlight w:val="green"/>
              </w:rPr>
              <w:t>Predicted relative RSRP accuracy = (reported predicted RSRP of cell 1/beam1 –</w:t>
            </w:r>
            <w:r>
              <w:rPr>
                <w:rFonts w:eastAsia="Yu Mincho"/>
                <w:color w:val="auto"/>
                <w:highlight w:val="green"/>
              </w:rPr>
              <w:t xml:space="preserve"> reported </w:t>
            </w:r>
            <w:r>
              <w:rPr>
                <w:rFonts w:eastAsia="Yu Mincho"/>
                <w:highlight w:val="green"/>
              </w:rPr>
              <w:t>RSRP of cell 2/beam2) – (ground truth of RSRP of cell 1/beam1 – ground truth of RSRP of cell 2/beam2)</w:t>
            </w:r>
          </w:p>
          <w:p>
            <w:pPr>
              <w:pStyle w:val="28"/>
              <w:numPr>
                <w:ilvl w:val="1"/>
                <w:numId w:val="5"/>
              </w:numPr>
              <w:ind w:firstLineChars="0"/>
              <w:rPr>
                <w:rFonts w:eastAsia="Yu Mincho"/>
                <w:highlight w:val="green"/>
              </w:rPr>
            </w:pPr>
            <w:r>
              <w:rPr>
                <w:rFonts w:eastAsia="Yu Mincho"/>
                <w:highlight w:val="green"/>
              </w:rPr>
              <w:t>FFS: Beam 1 and Beam 2 can be from same cell or different cells.</w:t>
            </w:r>
          </w:p>
          <w:p>
            <w:pPr>
              <w:pStyle w:val="28"/>
              <w:numPr>
                <w:ilvl w:val="1"/>
                <w:numId w:val="5"/>
              </w:numPr>
              <w:ind w:firstLineChars="0"/>
              <w:rPr>
                <w:rFonts w:eastAsia="Yu Mincho"/>
                <w:highlight w:val="green"/>
              </w:rPr>
            </w:pPr>
            <w:r>
              <w:rPr>
                <w:rFonts w:eastAsia="Yu Mincho"/>
                <w:highlight w:val="green"/>
              </w:rPr>
              <w:t>FFS: whether ground truth can be reported or ideal</w:t>
            </w:r>
          </w:p>
          <w:p>
            <w:pPr>
              <w:pStyle w:val="28"/>
              <w:numPr>
                <w:ilvl w:val="1"/>
                <w:numId w:val="5"/>
              </w:numPr>
              <w:ind w:firstLineChars="0"/>
              <w:rPr>
                <w:rFonts w:eastAsia="Yu Mincho"/>
                <w:highlight w:val="green"/>
              </w:rPr>
            </w:pPr>
            <w:r>
              <w:rPr>
                <w:rFonts w:eastAsia="Yu Mincho"/>
                <w:highlight w:val="green"/>
              </w:rPr>
              <w:t xml:space="preserve">FFS: whether the </w:t>
            </w:r>
            <w:r>
              <w:rPr>
                <w:rFonts w:eastAsia="Yu Mincho"/>
                <w:color w:val="auto"/>
                <w:highlight w:val="green"/>
              </w:rPr>
              <w:t>reported RSRP of cell2/beam2 can be predicted or measured or a combination of both predicted and measured sampl</w:t>
            </w:r>
            <w:r>
              <w:rPr>
                <w:rFonts w:eastAsia="Yu Mincho"/>
                <w:highlight w:val="green"/>
              </w:rPr>
              <w:t>es</w:t>
            </w:r>
            <w:r>
              <w:rPr>
                <w:color w:val="000000" w:themeColor="text1"/>
                <w:szCs w:val="24"/>
                <w:highlight w:val="green"/>
                <w:lang w:eastAsia="zh-CN"/>
                <w14:textFill>
                  <w14:solidFill>
                    <w14:schemeClr w14:val="tx1"/>
                  </w14:solidFill>
                </w14:textFill>
              </w:rPr>
              <w:t>.</w:t>
            </w:r>
          </w:p>
          <w:p>
            <w:pPr>
              <w:pStyle w:val="57"/>
              <w:numPr>
                <w:ilvl w:val="-1"/>
                <w:numId w:val="0"/>
              </w:numPr>
              <w:spacing w:before="0" w:beforeLines="0"/>
              <w:ind w:left="0" w:firstLine="0"/>
              <w:rPr>
                <w:rFonts w:hint="default" w:eastAsia="宋体"/>
                <w:lang w:val="en-US" w:eastAsia="zh-CN"/>
              </w:rPr>
            </w:pPr>
          </w:p>
        </w:tc>
      </w:tr>
    </w:tbl>
    <w:p>
      <w:pPr>
        <w:pStyle w:val="57"/>
        <w:spacing w:beforeLines="0" w:after="157" w:afterLines="50"/>
        <w:ind w:left="0" w:firstLine="0"/>
        <w:rPr>
          <w:rFonts w:hint="eastAsia" w:eastAsia="宋体"/>
          <w:b w:val="0"/>
          <w:bCs w:val="0"/>
          <w:color w:val="auto"/>
          <w:lang w:val="en-US" w:eastAsia="zh-CN"/>
        </w:rPr>
      </w:pPr>
      <w:r>
        <w:rPr>
          <w:rFonts w:hint="eastAsia" w:eastAsia="宋体"/>
          <w:b w:val="0"/>
          <w:bCs w:val="0"/>
          <w:color w:val="auto"/>
          <w:lang w:val="en-US" w:eastAsia="zh-CN"/>
        </w:rPr>
        <w:t>In this meeting, we should discuss the remaining issues from the last meeting.</w:t>
      </w:r>
    </w:p>
    <w:p>
      <w:pPr>
        <w:pStyle w:val="57"/>
        <w:spacing w:beforeLines="0" w:after="157" w:afterLines="50"/>
        <w:ind w:left="0" w:firstLine="0"/>
        <w:rPr>
          <w:rFonts w:hint="default" w:eastAsia="宋体"/>
          <w:b w:val="0"/>
          <w:bCs w:val="0"/>
          <w:color w:val="auto"/>
          <w:lang w:val="en-US" w:eastAsia="zh-CN"/>
        </w:rPr>
      </w:pPr>
      <w:r>
        <w:rPr>
          <w:rFonts w:hint="eastAsia" w:eastAsia="宋体"/>
          <w:b w:val="0"/>
          <w:bCs w:val="0"/>
          <w:color w:val="auto"/>
          <w:lang w:val="en-US" w:eastAsia="zh-CN"/>
        </w:rPr>
        <w:t>For the first issue, Beam 1 and Beam 2 can be from same cell or different cells. In our understanding, it relatives to different scenarios. We can observe from the table below, and there are three scenarios should be considered in high priority. For case 2 and case 4 in temporal domain, intra-cell prediction is assumed. That</w:t>
      </w:r>
      <w:r>
        <w:rPr>
          <w:rFonts w:hint="default" w:eastAsia="宋体"/>
          <w:b w:val="0"/>
          <w:bCs w:val="0"/>
          <w:color w:val="auto"/>
          <w:lang w:val="en-US" w:eastAsia="zh-CN"/>
        </w:rPr>
        <w:t>’</w:t>
      </w:r>
      <w:r>
        <w:rPr>
          <w:rFonts w:hint="eastAsia" w:eastAsia="宋体"/>
          <w:b w:val="0"/>
          <w:bCs w:val="0"/>
          <w:color w:val="auto"/>
          <w:lang w:val="en-US" w:eastAsia="zh-CN"/>
        </w:rPr>
        <w:t>s to say, use the old measurement result that obtain in T1 to predict new measurement result in T2 for one cell. Meanwhile, for case 3 in frequency domain, inter-cell prediction is assumed. For temproal prediction, measurement and prediction occur in the same cell, while for frequency prediction, measurement and prediction occur in different cells.</w:t>
      </w:r>
    </w:p>
    <w:tbl>
      <w:tblPr>
        <w:tblStyle w:val="16"/>
        <w:tblW w:w="9524" w:type="dxa"/>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68"/>
        <w:gridCol w:w="1220"/>
        <w:gridCol w:w="4475"/>
        <w:gridCol w:w="1502"/>
        <w:gridCol w:w="12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Case number</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Prioritization </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Evaluation scenario combination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target study 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Methodology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Low</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FR1 to FR1 intra-frequency temporal domain caseA</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2ndgoal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TBD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2</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FR1 to FR1 intra-frequency temporal domain caseB</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Intra-cell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3</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FR1 to FR1 inter-frequency (frequency domain)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Inter-cell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4</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FR2 to FR2 intra-frequency temporal domain case A</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2ndgoal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Intra-cell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5</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Low</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FR2 to FR2 intra-frequency temporal domain case B</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TBD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6</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Middle</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FR2 to FR2 intra-frequency spatial domain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Intra-cell</w:t>
            </w:r>
          </w:p>
        </w:tc>
      </w:tr>
    </w:tbl>
    <w:p>
      <w:pPr>
        <w:pStyle w:val="57"/>
        <w:spacing w:beforeLines="0" w:after="157" w:afterLines="50"/>
        <w:ind w:left="0" w:firstLine="0"/>
        <w:rPr>
          <w:rFonts w:hint="default" w:eastAsia="宋体"/>
          <w:b w:val="0"/>
          <w:bCs w:val="0"/>
          <w:color w:val="auto"/>
          <w:lang w:val="en-US" w:eastAsia="zh-CN"/>
        </w:rPr>
      </w:pPr>
    </w:p>
    <w:p>
      <w:pPr>
        <w:pStyle w:val="57"/>
        <w:spacing w:beforeLines="0" w:after="157" w:afterLines="50"/>
        <w:ind w:left="0" w:firstLine="0"/>
        <w:rPr>
          <w:rFonts w:hint="default" w:eastAsia="宋体"/>
          <w:b w:val="0"/>
          <w:bCs w:val="0"/>
          <w:color w:val="auto"/>
          <w:lang w:val="en-US" w:eastAsia="zh-CN"/>
        </w:rPr>
      </w:pPr>
      <w:r>
        <w:rPr>
          <w:rFonts w:hint="eastAsia" w:eastAsia="宋体"/>
          <w:b/>
          <w:bCs/>
          <w:color w:val="auto"/>
          <w:lang w:val="en-US" w:eastAsia="zh-CN"/>
        </w:rPr>
        <w:t>Proposal 3: Beam 1 and Beam 2 can be from same cell or different cells. For temproal prediction, measurement and prediction occur in the same cell, while for frequency prediction, measurement and prediction occur in different cells.</w:t>
      </w:r>
    </w:p>
    <w:p>
      <w:pPr>
        <w:pStyle w:val="57"/>
        <w:spacing w:beforeLines="0" w:after="157" w:afterLines="50"/>
        <w:ind w:left="0" w:firstLine="0"/>
        <w:rPr>
          <w:rFonts w:hint="eastAsia" w:eastAsia="宋体"/>
          <w:b w:val="0"/>
          <w:bCs w:val="0"/>
          <w:color w:val="auto"/>
          <w:lang w:val="en-US" w:eastAsia="zh-CN"/>
        </w:rPr>
      </w:pPr>
      <w:r>
        <w:rPr>
          <w:rFonts w:hint="eastAsia" w:eastAsia="宋体"/>
          <w:b w:val="0"/>
          <w:bCs w:val="0"/>
          <w:color w:val="auto"/>
          <w:lang w:val="en-US" w:eastAsia="zh-CN"/>
        </w:rPr>
        <w:t xml:space="preserve">For the second issue, whether ground truth can be reported or ideal. We have agreement in RAN4#112bis that consider conducted testing as a beseline option for testing in FR1. Based on this, we can use the transmitted power as baseline for the definition on ground truth of L3-RSRP, which is obtained as the legacy way of conducted test. Meanwhile, for FR2, RAN4 to leverage the work from </w:t>
      </w:r>
      <w:r>
        <w:rPr>
          <w:rFonts w:hint="default" w:eastAsia="宋体"/>
          <w:b w:val="0"/>
          <w:bCs w:val="0"/>
          <w:color w:val="auto"/>
          <w:lang w:val="en-US" w:eastAsia="zh-CN"/>
        </w:rPr>
        <w:t>”</w:t>
      </w:r>
      <w:r>
        <w:rPr>
          <w:rFonts w:hint="eastAsia" w:eastAsia="宋体"/>
          <w:b w:val="0"/>
          <w:bCs w:val="0"/>
          <w:color w:val="auto"/>
          <w:lang w:val="en-US" w:eastAsia="zh-CN"/>
        </w:rPr>
        <w:t>AI/ML for NR air interface</w:t>
      </w:r>
      <w:r>
        <w:rPr>
          <w:rFonts w:hint="default" w:eastAsia="宋体"/>
          <w:b w:val="0"/>
          <w:bCs w:val="0"/>
          <w:color w:val="auto"/>
          <w:lang w:val="en-US" w:eastAsia="zh-CN"/>
        </w:rPr>
        <w:t>”</w:t>
      </w:r>
      <w:r>
        <w:rPr>
          <w:rFonts w:hint="eastAsia" w:eastAsia="宋体"/>
          <w:b w:val="0"/>
          <w:bCs w:val="0"/>
          <w:color w:val="auto"/>
          <w:lang w:val="en-US" w:eastAsia="zh-CN"/>
        </w:rPr>
        <w:t xml:space="preserve"> led by RAN1 and avoid the duplicate study for testability and interoperability. So, we can reuse the definiation of ground truth on R19 AI BM.</w:t>
      </w:r>
    </w:p>
    <w:p>
      <w:pPr>
        <w:pStyle w:val="57"/>
        <w:spacing w:beforeLines="0" w:after="157" w:afterLines="50"/>
        <w:ind w:left="0" w:firstLine="0"/>
        <w:rPr>
          <w:rFonts w:hint="eastAsia" w:eastAsia="宋体"/>
          <w:b/>
          <w:bCs/>
          <w:color w:val="auto"/>
          <w:lang w:val="en-US" w:eastAsia="zh-CN"/>
        </w:rPr>
      </w:pPr>
      <w:r>
        <w:rPr>
          <w:rFonts w:hint="eastAsia" w:eastAsia="宋体"/>
          <w:b w:val="0"/>
          <w:bCs w:val="0"/>
          <w:color w:val="auto"/>
          <w:lang w:val="en-US" w:eastAsia="zh-CN"/>
        </w:rPr>
        <w:t>In the last meeting, we have discussed the ground truth definition for RSRP accuracy, amd the definiation of ground truth on R19 AI BM can be used as baseline for FR2, that is, The ground truth of L3 RPRP is the reported L3 RSRP measurement under sufficient high SNR in FR2.</w:t>
      </w:r>
    </w:p>
    <w:p>
      <w:pPr>
        <w:pStyle w:val="57"/>
        <w:spacing w:beforeLines="0" w:after="157" w:afterLines="50"/>
        <w:ind w:left="0" w:firstLine="0"/>
        <w:rPr>
          <w:rFonts w:hint="eastAsia" w:eastAsia="宋体"/>
          <w:b/>
          <w:bCs/>
          <w:color w:val="auto"/>
          <w:lang w:val="en-US" w:eastAsia="zh-CN"/>
        </w:rPr>
      </w:pPr>
      <w:r>
        <w:rPr>
          <w:rFonts w:hint="eastAsia" w:eastAsia="宋体"/>
          <w:b/>
          <w:bCs/>
          <w:color w:val="auto"/>
          <w:lang w:val="en-US" w:eastAsia="zh-CN"/>
        </w:rPr>
        <w:t>Onservation 2: For FR2, the definiation of ground truth on R19 AI BM has been reused as baseline, that is, the ground truth of L3 RPRP is the reported L3 RSRP measurement under sufficient high SNR in FR2.</w:t>
      </w:r>
    </w:p>
    <w:p>
      <w:pPr>
        <w:pStyle w:val="57"/>
        <w:spacing w:beforeLines="0" w:after="157" w:afterLines="50"/>
        <w:ind w:left="0" w:firstLine="0"/>
        <w:rPr>
          <w:rFonts w:hint="eastAsia" w:eastAsia="宋体"/>
          <w:b w:val="0"/>
          <w:bCs w:val="0"/>
          <w:color w:val="auto"/>
          <w:lang w:val="en-US" w:eastAsia="zh-CN"/>
        </w:rPr>
      </w:pPr>
      <w:r>
        <w:rPr>
          <w:rFonts w:hint="eastAsia" w:eastAsia="宋体"/>
          <w:b w:val="0"/>
          <w:bCs w:val="0"/>
          <w:color w:val="auto"/>
          <w:lang w:val="en-US" w:eastAsia="zh-CN"/>
        </w:rPr>
        <w:t>For FR1, there are two options to define the ground truth.</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rPr>
                <w:rFonts w:eastAsia="MS Mincho"/>
                <w:b/>
                <w:bCs/>
                <w:sz w:val="22"/>
                <w:szCs w:val="24"/>
                <w:u w:val="single"/>
                <w:lang w:eastAsia="zh-CN"/>
              </w:rPr>
            </w:pPr>
            <w:r>
              <w:rPr>
                <w:rFonts w:eastAsia="MS Mincho"/>
                <w:b/>
                <w:bCs/>
                <w:sz w:val="22"/>
                <w:szCs w:val="24"/>
                <w:u w:val="single"/>
                <w:lang w:eastAsia="zh-CN"/>
              </w:rPr>
              <w:t>Issue 2-1-2: Ground Truth Definition for RSRP accuracy</w:t>
            </w:r>
          </w:p>
          <w:p>
            <w:pPr>
              <w:pStyle w:val="28"/>
              <w:numPr>
                <w:ilvl w:val="0"/>
                <w:numId w:val="5"/>
              </w:numPr>
              <w:overflowPunct/>
              <w:autoSpaceDE/>
              <w:autoSpaceDN/>
              <w:adjustRightInd/>
              <w:spacing w:after="0"/>
              <w:ind w:firstLineChars="0"/>
              <w:textAlignment w:val="auto"/>
              <w:rPr>
                <w:rFonts w:eastAsia="Yu Mincho"/>
                <w:highlight w:val="green"/>
              </w:rPr>
            </w:pPr>
            <w:r>
              <w:rPr>
                <w:rFonts w:eastAsia="Yu Mincho"/>
                <w:highlight w:val="green"/>
              </w:rPr>
              <w:t>Agreement:</w:t>
            </w:r>
          </w:p>
          <w:p>
            <w:pPr>
              <w:pStyle w:val="28"/>
              <w:numPr>
                <w:ilvl w:val="1"/>
                <w:numId w:val="5"/>
              </w:numPr>
              <w:snapToGrid w:val="0"/>
              <w:spacing w:after="120"/>
              <w:ind w:firstLineChars="0"/>
              <w:rPr>
                <w:rFonts w:eastAsia="Yu Mincho"/>
                <w:highlight w:val="green"/>
              </w:rPr>
            </w:pPr>
            <w:r>
              <w:rPr>
                <w:rFonts w:hint="eastAsia" w:eastAsia="Yu Mincho"/>
                <w:highlight w:val="green"/>
              </w:rPr>
              <w:t>A</w:t>
            </w:r>
            <w:r>
              <w:rPr>
                <w:rFonts w:eastAsia="Yu Mincho"/>
                <w:highlight w:val="green"/>
              </w:rPr>
              <w:t xml:space="preserve">lt 1: Ground truth for FR1 will be based on the transmitted or reception power </w:t>
            </w:r>
          </w:p>
          <w:p>
            <w:pPr>
              <w:pStyle w:val="28"/>
              <w:numPr>
                <w:ilvl w:val="1"/>
                <w:numId w:val="5"/>
              </w:numPr>
              <w:spacing w:after="120"/>
              <w:ind w:firstLineChars="0"/>
              <w:rPr>
                <w:rFonts w:eastAsia="Yu Mincho"/>
                <w:highlight w:val="green"/>
              </w:rPr>
            </w:pPr>
            <w:r>
              <w:rPr>
                <w:rFonts w:eastAsia="Yu Mincho"/>
                <w:highlight w:val="green"/>
              </w:rPr>
              <w:t xml:space="preserve">Alt 2: Ground truth for FR1 will be based on the reported measurement value under certain conditions </w:t>
            </w:r>
          </w:p>
          <w:p>
            <w:pPr>
              <w:pStyle w:val="28"/>
              <w:numPr>
                <w:ilvl w:val="1"/>
                <w:numId w:val="5"/>
              </w:numPr>
              <w:overflowPunct/>
              <w:autoSpaceDE/>
              <w:autoSpaceDN/>
              <w:adjustRightInd/>
              <w:spacing w:after="0"/>
              <w:ind w:firstLineChars="0"/>
              <w:textAlignment w:val="auto"/>
              <w:rPr>
                <w:rFonts w:eastAsia="Yu Mincho"/>
                <w:color w:val="auto"/>
                <w:highlight w:val="green"/>
              </w:rPr>
            </w:pPr>
            <w:r>
              <w:rPr>
                <w:rFonts w:eastAsia="Yu Mincho"/>
                <w:color w:val="auto"/>
                <w:highlight w:val="green"/>
              </w:rPr>
              <w:t xml:space="preserve">Further discuss the advantages and disadvantages for Alt 1 and Alt 2 considering the aspects such as: </w:t>
            </w:r>
          </w:p>
          <w:p>
            <w:pPr>
              <w:pStyle w:val="28"/>
              <w:numPr>
                <w:ilvl w:val="2"/>
                <w:numId w:val="5"/>
              </w:numPr>
              <w:overflowPunct/>
              <w:autoSpaceDE/>
              <w:autoSpaceDN/>
              <w:adjustRightInd/>
              <w:spacing w:after="0"/>
              <w:ind w:firstLineChars="0"/>
              <w:textAlignment w:val="auto"/>
              <w:rPr>
                <w:rFonts w:eastAsia="Yu Mincho"/>
                <w:color w:val="auto"/>
                <w:highlight w:val="green"/>
              </w:rPr>
            </w:pPr>
            <w:r>
              <w:rPr>
                <w:rFonts w:eastAsia="Yu Mincho"/>
                <w:color w:val="auto"/>
                <w:highlight w:val="green"/>
              </w:rPr>
              <w:t>The information at the TE side, on the timing UE performs and/or finishes the measurement and/or prediction</w:t>
            </w:r>
          </w:p>
          <w:p>
            <w:pPr>
              <w:pStyle w:val="28"/>
              <w:numPr>
                <w:ilvl w:val="2"/>
                <w:numId w:val="5"/>
              </w:numPr>
              <w:overflowPunct/>
              <w:autoSpaceDE/>
              <w:autoSpaceDN/>
              <w:adjustRightInd/>
              <w:spacing w:after="0"/>
              <w:ind w:firstLineChars="0"/>
              <w:textAlignment w:val="auto"/>
              <w:rPr>
                <w:rFonts w:eastAsia="Yu Mincho"/>
                <w:color w:val="auto"/>
                <w:highlight w:val="green"/>
              </w:rPr>
            </w:pPr>
            <w:r>
              <w:rPr>
                <w:rFonts w:eastAsia="Yu Mincho"/>
                <w:color w:val="auto"/>
                <w:highlight w:val="green"/>
              </w:rPr>
              <w:t> Impact of L3 filtering</w:t>
            </w:r>
          </w:p>
          <w:p>
            <w:pPr>
              <w:pStyle w:val="28"/>
              <w:numPr>
                <w:ilvl w:val="2"/>
                <w:numId w:val="5"/>
              </w:numPr>
              <w:overflowPunct/>
              <w:autoSpaceDE/>
              <w:autoSpaceDN/>
              <w:adjustRightInd/>
              <w:spacing w:after="0"/>
              <w:ind w:firstLineChars="0"/>
              <w:textAlignment w:val="auto"/>
              <w:rPr>
                <w:rFonts w:eastAsia="Yu Mincho"/>
                <w:color w:val="auto"/>
                <w:highlight w:val="green"/>
              </w:rPr>
            </w:pPr>
            <w:r>
              <w:rPr>
                <w:rFonts w:eastAsia="Yu Mincho"/>
                <w:color w:val="auto"/>
                <w:highlight w:val="green"/>
              </w:rPr>
              <w:t xml:space="preserve"> Number of samples for L1 filtering </w:t>
            </w:r>
          </w:p>
          <w:p>
            <w:pPr>
              <w:pStyle w:val="28"/>
              <w:numPr>
                <w:ilvl w:val="2"/>
                <w:numId w:val="5"/>
              </w:numPr>
              <w:overflowPunct/>
              <w:autoSpaceDE/>
              <w:autoSpaceDN/>
              <w:adjustRightInd/>
              <w:spacing w:after="0"/>
              <w:ind w:firstLineChars="0"/>
              <w:textAlignment w:val="auto"/>
              <w:rPr>
                <w:rFonts w:eastAsia="Yu Mincho"/>
                <w:color w:val="auto"/>
                <w:highlight w:val="green"/>
              </w:rPr>
            </w:pPr>
            <w:r>
              <w:rPr>
                <w:rFonts w:eastAsia="Yu Mincho"/>
                <w:color w:val="auto"/>
                <w:highlight w:val="green"/>
              </w:rPr>
              <w:t> Timing window, if it exists, where UE can’t measure the ground truth in Alt2</w:t>
            </w:r>
          </w:p>
          <w:p>
            <w:pPr>
              <w:pStyle w:val="28"/>
              <w:numPr>
                <w:ilvl w:val="2"/>
                <w:numId w:val="5"/>
              </w:numPr>
              <w:overflowPunct/>
              <w:autoSpaceDE/>
              <w:autoSpaceDN/>
              <w:adjustRightInd/>
              <w:spacing w:after="0"/>
              <w:ind w:firstLineChars="0"/>
              <w:textAlignment w:val="auto"/>
              <w:rPr>
                <w:rFonts w:eastAsia="Yu Mincho"/>
                <w:color w:val="auto"/>
                <w:highlight w:val="green"/>
              </w:rPr>
            </w:pPr>
            <w:r>
              <w:rPr>
                <w:rFonts w:eastAsia="Yu Mincho"/>
                <w:color w:val="auto"/>
                <w:highlight w:val="green"/>
              </w:rPr>
              <w:t> channel condition</w:t>
            </w:r>
          </w:p>
          <w:p>
            <w:pPr>
              <w:pStyle w:val="28"/>
              <w:numPr>
                <w:ilvl w:val="2"/>
                <w:numId w:val="5"/>
              </w:numPr>
              <w:overflowPunct/>
              <w:autoSpaceDE/>
              <w:autoSpaceDN/>
              <w:adjustRightInd/>
              <w:spacing w:after="0"/>
              <w:ind w:firstLineChars="0"/>
              <w:textAlignment w:val="auto"/>
              <w:rPr>
                <w:rFonts w:eastAsia="Yu Mincho"/>
                <w:color w:val="auto"/>
                <w:highlight w:val="green"/>
              </w:rPr>
            </w:pPr>
            <w:r>
              <w:rPr>
                <w:rFonts w:eastAsia="Yu Mincho"/>
                <w:color w:val="auto"/>
                <w:highlight w:val="green"/>
              </w:rPr>
              <w:t> Avoid UE cheat in the test</w:t>
            </w:r>
          </w:p>
          <w:p>
            <w:pPr>
              <w:pStyle w:val="28"/>
              <w:numPr>
                <w:ilvl w:val="2"/>
                <w:numId w:val="5"/>
              </w:numPr>
              <w:overflowPunct/>
              <w:autoSpaceDE/>
              <w:autoSpaceDN/>
              <w:adjustRightInd/>
              <w:spacing w:after="0"/>
              <w:ind w:firstLineChars="0"/>
              <w:textAlignment w:val="auto"/>
              <w:rPr>
                <w:rFonts w:eastAsia="Yu Mincho"/>
                <w:color w:val="auto"/>
                <w:highlight w:val="green"/>
              </w:rPr>
            </w:pPr>
            <w:r>
              <w:rPr>
                <w:rFonts w:eastAsia="Yu Mincho"/>
                <w:color w:val="auto"/>
                <w:highlight w:val="green"/>
              </w:rPr>
              <w:t> S(I)NR variations in the test at different time instances (for Alt2)</w:t>
            </w:r>
          </w:p>
          <w:p>
            <w:pPr>
              <w:pStyle w:val="28"/>
              <w:numPr>
                <w:ilvl w:val="2"/>
                <w:numId w:val="5"/>
              </w:numPr>
              <w:overflowPunct/>
              <w:autoSpaceDE/>
              <w:autoSpaceDN/>
              <w:adjustRightInd/>
              <w:spacing w:after="0"/>
              <w:ind w:firstLineChars="0"/>
              <w:textAlignment w:val="auto"/>
              <w:rPr>
                <w:rFonts w:eastAsia="Yu Mincho"/>
                <w:color w:val="auto"/>
                <w:highlight w:val="green"/>
              </w:rPr>
            </w:pPr>
            <w:r>
              <w:rPr>
                <w:rFonts w:eastAsia="Yu Mincho"/>
                <w:color w:val="auto"/>
                <w:highlight w:val="green"/>
              </w:rPr>
              <w:t xml:space="preserve"> Other aspects are not precluded</w:t>
            </w:r>
          </w:p>
          <w:p>
            <w:pPr>
              <w:pStyle w:val="28"/>
              <w:numPr>
                <w:ilvl w:val="1"/>
                <w:numId w:val="5"/>
              </w:numPr>
              <w:overflowPunct/>
              <w:autoSpaceDE/>
              <w:autoSpaceDN/>
              <w:adjustRightInd/>
              <w:spacing w:after="0"/>
              <w:ind w:firstLineChars="0"/>
              <w:textAlignment w:val="auto"/>
              <w:rPr>
                <w:rFonts w:eastAsia="Yu Mincho"/>
                <w:highlight w:val="green"/>
              </w:rPr>
            </w:pPr>
            <w:r>
              <w:rPr>
                <w:rFonts w:eastAsia="Yu Mincho"/>
                <w:highlight w:val="green"/>
              </w:rPr>
              <w:t> Companies are encouraged to provide analysis on all or some of the aspects in the list</w:t>
            </w:r>
          </w:p>
          <w:p>
            <w:pPr>
              <w:pStyle w:val="57"/>
              <w:numPr>
                <w:ilvl w:val="-1"/>
                <w:numId w:val="0"/>
              </w:numPr>
              <w:spacing w:before="0" w:beforeLines="0"/>
              <w:ind w:left="0" w:firstLine="0"/>
              <w:rPr>
                <w:rFonts w:hint="default" w:eastAsia="宋体"/>
                <w:lang w:val="en-US" w:eastAsia="zh-CN"/>
              </w:rPr>
            </w:pPr>
          </w:p>
        </w:tc>
      </w:tr>
    </w:tbl>
    <w:p>
      <w:pPr>
        <w:pStyle w:val="57"/>
        <w:spacing w:beforeLines="0" w:after="157" w:afterLines="50"/>
        <w:ind w:left="0" w:firstLine="0"/>
        <w:rPr>
          <w:rFonts w:hint="eastAsia" w:eastAsia="宋体"/>
          <w:b/>
          <w:bCs/>
          <w:color w:val="auto"/>
          <w:lang w:val="en-US" w:eastAsia="zh-CN"/>
        </w:rPr>
      </w:pPr>
      <w:r>
        <w:rPr>
          <w:rFonts w:hint="eastAsia" w:eastAsia="宋体"/>
          <w:b w:val="0"/>
          <w:bCs w:val="0"/>
          <w:color w:val="auto"/>
          <w:lang w:val="en-US" w:eastAsia="zh-CN"/>
        </w:rPr>
        <w:t>For Alt1, referring to the existing methods for FR1 conducted testing, use the transmitted power as baseline for the definition on ground truth of L3-RSRP. However, as mentioned by other company, there maybe some margin should be considered compared to legacy if RAN4 will use the transmitted power due to filtering, timing, channal condition and so on. We have no strong view on this issue and maybe we can consider the transmitted power with some margin to define the ground truth in FR1.</w:t>
      </w:r>
    </w:p>
    <w:p>
      <w:pPr>
        <w:pStyle w:val="57"/>
        <w:spacing w:beforeLines="0" w:after="157" w:afterLines="50"/>
        <w:ind w:left="0" w:firstLine="0"/>
        <w:rPr>
          <w:rFonts w:hint="default" w:eastAsia="宋体"/>
          <w:b/>
          <w:bCs/>
          <w:color w:val="auto"/>
          <w:lang w:val="en-US" w:eastAsia="zh-CN"/>
        </w:rPr>
      </w:pPr>
      <w:r>
        <w:rPr>
          <w:rFonts w:hint="eastAsia" w:eastAsia="宋体"/>
          <w:b/>
          <w:bCs/>
          <w:color w:val="auto"/>
          <w:lang w:val="en-US" w:eastAsia="zh-CN"/>
        </w:rPr>
        <w:t xml:space="preserve">Proposal 4: For FR1, the transmitted power can be used as baseline for the definition on ground truth of L3-RSRP, which is obtained as the legacy way of conducted test. </w:t>
      </w:r>
    </w:p>
    <w:p>
      <w:pPr>
        <w:pStyle w:val="57"/>
        <w:spacing w:beforeLines="0" w:after="157"/>
        <w:ind w:left="0" w:firstLine="0"/>
        <w:rPr>
          <w:rFonts w:hint="eastAsia" w:eastAsia="宋体" w:cs="Times New Roman"/>
          <w:sz w:val="20"/>
          <w:szCs w:val="20"/>
          <w:lang w:val="en-US" w:eastAsia="zh-CN"/>
        </w:rPr>
      </w:pPr>
      <w:r>
        <w:rPr>
          <w:rFonts w:hint="eastAsia" w:eastAsia="宋体"/>
          <w:b w:val="0"/>
          <w:bCs w:val="0"/>
          <w:color w:val="auto"/>
          <w:lang w:val="en-US" w:eastAsia="zh-CN"/>
        </w:rPr>
        <w:t xml:space="preserve">For the third issue, whether the reported RSRP of cell2/beam2 can be predicted or measured or a combination of both predicted and measured samples. </w:t>
      </w:r>
      <w:r>
        <w:rPr>
          <w:rFonts w:ascii="Times New Roman" w:hAnsi="Times New Roman" w:cs="Times New Roman"/>
          <w:sz w:val="20"/>
          <w:szCs w:val="20"/>
          <w:lang w:val="en-GB"/>
        </w:rPr>
        <w:t>For the definition of relative RSRP, it involves two RSRP measurements as references. The legacy relative L3-RSRP accuracy requirement is defined as the delta between the measured L3-RSRP of the serving cell and the measured L3-RSRP of the neighboring cell. Following the same definition, the relative prediction accuracy would be expressed as</w:t>
      </w:r>
      <w:r>
        <w:rPr>
          <w:rFonts w:hint="eastAsia" w:ascii="Times New Roman" w:hAnsi="Times New Roman" w:eastAsia="宋体" w:cs="Times New Roman"/>
          <w:sz w:val="20"/>
          <w:szCs w:val="20"/>
          <w:lang w:val="en-US" w:eastAsia="zh-CN"/>
        </w:rPr>
        <w:t xml:space="preserve"> </w:t>
      </w:r>
      <w:r>
        <w:rPr>
          <w:rFonts w:ascii="Times New Roman" w:hAnsi="Times New Roman" w:cs="Times New Roman"/>
          <w:sz w:val="20"/>
          <w:szCs w:val="20"/>
          <w:lang w:val="en-GB"/>
        </w:rPr>
        <w:t>the delta between</w:t>
      </w:r>
      <w:r>
        <w:rPr>
          <w:rFonts w:hint="eastAsia" w:eastAsia="宋体" w:cs="Times New Roman"/>
          <w:sz w:val="20"/>
          <w:szCs w:val="20"/>
          <w:lang w:val="en-US" w:eastAsia="zh-CN"/>
        </w:rPr>
        <w:t xml:space="preserve"> </w:t>
      </w:r>
      <w:r>
        <w:rPr>
          <w:rFonts w:ascii="Times New Roman" w:hAnsi="Times New Roman" w:cs="Times New Roman"/>
          <w:sz w:val="20"/>
          <w:szCs w:val="20"/>
          <w:lang w:val="en-GB"/>
        </w:rPr>
        <w:t>the</w:t>
      </w:r>
      <w:r>
        <w:rPr>
          <w:rFonts w:hint="eastAsia" w:eastAsia="宋体" w:cs="Times New Roman"/>
          <w:sz w:val="20"/>
          <w:szCs w:val="20"/>
          <w:lang w:val="en-US" w:eastAsia="zh-CN"/>
        </w:rPr>
        <w:t xml:space="preserve"> p</w:t>
      </w:r>
      <w:r>
        <w:rPr>
          <w:rFonts w:ascii="Times New Roman" w:hAnsi="Times New Roman" w:cs="Times New Roman"/>
          <w:sz w:val="20"/>
          <w:szCs w:val="20"/>
          <w:lang w:val="en-GB"/>
        </w:rPr>
        <w:t>redicted RSRP of the cell 1</w:t>
      </w:r>
      <w:r>
        <w:rPr>
          <w:rFonts w:hint="eastAsia" w:eastAsia="宋体" w:cs="Times New Roman"/>
          <w:sz w:val="20"/>
          <w:szCs w:val="20"/>
          <w:lang w:val="en-US" w:eastAsia="zh-CN"/>
        </w:rPr>
        <w:t>/beam1</w:t>
      </w:r>
      <w:r>
        <w:rPr>
          <w:rFonts w:ascii="Times New Roman" w:hAnsi="Times New Roman" w:cs="Times New Roman"/>
          <w:sz w:val="20"/>
          <w:szCs w:val="20"/>
          <w:lang w:val="en-GB"/>
        </w:rPr>
        <w:t xml:space="preserve"> and the </w:t>
      </w:r>
      <w:r>
        <w:rPr>
          <w:rFonts w:hint="eastAsia" w:eastAsia="宋体" w:cs="Times New Roman"/>
          <w:sz w:val="20"/>
          <w:szCs w:val="20"/>
          <w:lang w:val="en-US" w:eastAsia="zh-CN"/>
        </w:rPr>
        <w:t>p</w:t>
      </w:r>
      <w:r>
        <w:rPr>
          <w:rFonts w:ascii="Times New Roman" w:hAnsi="Times New Roman" w:cs="Times New Roman"/>
          <w:sz w:val="20"/>
          <w:szCs w:val="20"/>
          <w:lang w:val="en-GB"/>
        </w:rPr>
        <w:t xml:space="preserve">redicted RSRP of the cell </w:t>
      </w:r>
      <w:r>
        <w:rPr>
          <w:rFonts w:hint="eastAsia" w:eastAsia="宋体" w:cs="Times New Roman"/>
          <w:sz w:val="20"/>
          <w:szCs w:val="20"/>
          <w:lang w:val="en-US" w:eastAsia="zh-CN"/>
        </w:rPr>
        <w:t>2</w:t>
      </w:r>
      <w:r>
        <w:rPr>
          <w:rFonts w:hint="eastAsia" w:eastAsia="宋体" w:cs="Times New Roman"/>
          <w:sz w:val="20"/>
          <w:szCs w:val="20"/>
          <w:lang w:val="en-US" w:eastAsia="zh-CN"/>
        </w:rPr>
        <w:t>/beam2. however, for frequency domain prediction, multiple cells that meet the condition (same sector) can be predicted, and multiple prediction results will appear here. But for temproal domain prediction, how to understand the relationship between two prediction results?</w:t>
      </w:r>
    </w:p>
    <w:p>
      <w:pPr>
        <w:pStyle w:val="57"/>
        <w:spacing w:beforeLines="0" w:after="157" w:afterLines="-2147483648"/>
        <w:ind w:left="0" w:firstLine="0"/>
        <w:rPr>
          <w:rFonts w:hint="eastAsia" w:eastAsia="宋体"/>
          <w:b w:val="0"/>
          <w:bCs w:val="0"/>
          <w:color w:val="auto"/>
          <w:lang w:val="en-US" w:eastAsia="zh-CN"/>
        </w:rPr>
      </w:pPr>
      <w:r>
        <w:rPr>
          <w:rFonts w:hint="eastAsia" w:eastAsia="宋体" w:cs="Times New Roman"/>
          <w:b/>
          <w:bCs/>
          <w:sz w:val="20"/>
          <w:szCs w:val="20"/>
          <w:lang w:val="en-US" w:eastAsia="zh-CN"/>
        </w:rPr>
        <w:t>Observation 3: If the definition</w:t>
      </w:r>
      <w:r>
        <w:rPr>
          <w:rFonts w:ascii="Times New Roman" w:hAnsi="Times New Roman" w:cs="Times New Roman"/>
          <w:b/>
          <w:bCs/>
          <w:sz w:val="20"/>
          <w:szCs w:val="20"/>
          <w:lang w:val="en-GB"/>
        </w:rPr>
        <w:t xml:space="preserve"> of relative RSRP</w:t>
      </w:r>
      <w:r>
        <w:rPr>
          <w:rFonts w:hint="eastAsia" w:eastAsia="宋体" w:cs="Times New Roman"/>
          <w:b/>
          <w:bCs/>
          <w:sz w:val="20"/>
          <w:szCs w:val="20"/>
          <w:lang w:val="en-US" w:eastAsia="zh-CN"/>
        </w:rPr>
        <w:t xml:space="preserve"> is completed according to the description of legacy, it will involve two prediction results, and the relationship between these two prediction results in temproal domain prediction needs to be clarified.</w:t>
      </w:r>
    </w:p>
    <w:p>
      <w:pPr>
        <w:pStyle w:val="57"/>
        <w:spacing w:before="0" w:beforeLines="0" w:after="157" w:afterLines="50"/>
        <w:ind w:left="0" w:firstLine="0"/>
        <w:rPr>
          <w:rFonts w:hint="eastAsia" w:eastAsia="宋体"/>
          <w:lang w:val="en-US" w:eastAsia="zh-CN"/>
        </w:rPr>
      </w:pPr>
      <w:r>
        <w:rPr>
          <w:rFonts w:hint="eastAsia" w:eastAsia="宋体"/>
          <w:lang w:val="en-US" w:eastAsia="zh-CN"/>
        </w:rPr>
        <w:t>Based on the RAN2</w:t>
      </w:r>
      <w:r>
        <w:rPr>
          <w:rFonts w:hint="default" w:eastAsia="宋体"/>
          <w:lang w:val="en-US" w:eastAsia="zh-CN"/>
        </w:rPr>
        <w:t>’</w:t>
      </w:r>
      <w:r>
        <w:rPr>
          <w:rFonts w:hint="eastAsia" w:eastAsia="宋体"/>
          <w:lang w:val="en-US" w:eastAsia="zh-CN"/>
        </w:rPr>
        <w:t xml:space="preserve">s agreement, we should define the prediction accuray of the cell-level measurement prediction, and RSRP difference to the actual measurement should be defined. Meanwhile, measurement reduction rate is also be considered as one KPI and it can be depotitized compared to </w:t>
      </w:r>
      <w:r>
        <w:rPr>
          <w:rFonts w:hint="eastAsia"/>
        </w:rPr>
        <w:t>measurement prediction accuracy</w:t>
      </w:r>
      <w:r>
        <w:rPr>
          <w:rFonts w:hint="eastAsia" w:eastAsia="宋体"/>
          <w:lang w:val="en-US" w:eastAsia="zh-CN"/>
        </w:rPr>
        <w:t>.</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7"/>
              <w:numPr>
                <w:ilvl w:val="-1"/>
                <w:numId w:val="0"/>
              </w:numPr>
              <w:spacing w:before="0" w:beforeLines="0"/>
              <w:ind w:left="0" w:firstLine="0"/>
              <w:rPr>
                <w:rFonts w:hint="eastAsia" w:eastAsia="宋体"/>
                <w:b/>
                <w:bCs/>
                <w:lang w:val="en-US" w:eastAsia="zh-CN"/>
              </w:rPr>
            </w:pPr>
            <w:r>
              <w:rPr>
                <w:rFonts w:hint="eastAsia" w:eastAsia="宋体"/>
                <w:b/>
                <w:bCs/>
                <w:lang w:val="en-US" w:eastAsia="zh-CN"/>
              </w:rPr>
              <w:t>RAN2#126</w:t>
            </w:r>
          </w:p>
          <w:p>
            <w:pPr>
              <w:pStyle w:val="57"/>
              <w:numPr>
                <w:ilvl w:val="-1"/>
                <w:numId w:val="0"/>
              </w:numPr>
              <w:spacing w:before="0" w:beforeLines="0"/>
              <w:ind w:left="0" w:firstLine="0"/>
              <w:rPr>
                <w:rFonts w:hint="eastAsia" w:eastAsia="宋体"/>
                <w:b/>
                <w:bCs/>
                <w:lang w:val="en-US" w:eastAsia="zh-CN"/>
              </w:rPr>
            </w:pPr>
          </w:p>
          <w:p>
            <w:pPr>
              <w:pStyle w:val="57"/>
              <w:numPr>
                <w:ilvl w:val="-1"/>
                <w:numId w:val="0"/>
              </w:numPr>
              <w:spacing w:before="0" w:beforeLines="0"/>
              <w:ind w:left="0" w:firstLine="0"/>
              <w:rPr>
                <w:rFonts w:hint="default" w:eastAsia="宋体"/>
                <w:lang w:val="en-US" w:eastAsia="zh-CN"/>
              </w:rPr>
            </w:pPr>
            <w:r>
              <w:rPr>
                <w:rFonts w:hint="eastAsia"/>
              </w:rPr>
              <w:t xml:space="preserve">=&gt; </w:t>
            </w:r>
            <w:r>
              <w:rPr>
                <w:rFonts w:hint="default" w:eastAsia="宋体"/>
                <w:lang w:val="en-US" w:eastAsia="zh-CN"/>
              </w:rPr>
              <w:t>Prediction accuracy metric for RRM measurement cell level prediction is defined as “RSRP difference between predicted L3 cell level measurement result and actual L3 cell level measurement result of the same cell” for all RRM sub cases</w:t>
            </w:r>
          </w:p>
          <w:p>
            <w:pPr>
              <w:pStyle w:val="57"/>
              <w:numPr>
                <w:ilvl w:val="-1"/>
                <w:numId w:val="0"/>
              </w:numPr>
              <w:spacing w:before="0" w:beforeLines="0"/>
              <w:ind w:left="0" w:firstLine="0"/>
              <w:rPr>
                <w:rFonts w:hint="default" w:eastAsia="宋体"/>
                <w:lang w:val="en-US" w:eastAsia="zh-CN"/>
              </w:rPr>
            </w:pPr>
          </w:p>
          <w:p>
            <w:pPr>
              <w:pStyle w:val="57"/>
              <w:numPr>
                <w:ilvl w:val="-1"/>
                <w:numId w:val="0"/>
              </w:numPr>
              <w:spacing w:before="0" w:beforeLines="0"/>
              <w:ind w:left="0" w:firstLine="0"/>
              <w:rPr>
                <w:rFonts w:hint="default" w:eastAsia="宋体"/>
                <w:lang w:val="en-US" w:eastAsia="zh-CN"/>
              </w:rPr>
            </w:pPr>
            <w:r>
              <w:rPr>
                <w:rFonts w:hint="eastAsia"/>
              </w:rPr>
              <w:t xml:space="preserve">=&gt; </w:t>
            </w:r>
            <w:r>
              <w:rPr>
                <w:rFonts w:hint="default" w:eastAsia="宋体"/>
                <w:lang w:val="en-US" w:eastAsia="zh-CN"/>
              </w:rPr>
              <w:t>Definition of measurement reduction for intra-frequency scenario is defined as:(20/20)</w:t>
            </w:r>
          </w:p>
          <w:p>
            <w:pPr>
              <w:pStyle w:val="57"/>
              <w:numPr>
                <w:ilvl w:val="0"/>
                <w:numId w:val="0"/>
              </w:numPr>
              <w:spacing w:before="0" w:beforeLines="0"/>
              <w:ind w:left="200" w:leftChars="100" w:firstLine="0"/>
              <w:rPr>
                <w:rFonts w:hint="default" w:eastAsia="宋体"/>
                <w:lang w:val="en-US" w:eastAsia="zh-CN"/>
              </w:rPr>
            </w:pPr>
            <w:r>
              <w:rPr>
                <w:rFonts w:hint="default" w:eastAsia="宋体"/>
                <w:lang w:val="en-US" w:eastAsia="zh-CN"/>
              </w:rPr>
              <w:t>Measurement reduction rate in temporal domain (MRRT) assuming same length of measurement time instances:</w:t>
            </w:r>
          </w:p>
          <w:p>
            <w:pPr>
              <w:pStyle w:val="57"/>
              <w:numPr>
                <w:ilvl w:val="0"/>
                <w:numId w:val="0"/>
              </w:numPr>
              <w:spacing w:before="0" w:beforeLines="0"/>
              <w:ind w:left="600" w:leftChars="300" w:firstLine="0"/>
              <w:rPr>
                <w:rFonts w:hint="default" w:eastAsia="宋体"/>
                <w:lang w:val="en-US" w:eastAsia="zh-CN"/>
              </w:rPr>
            </w:pPr>
            <w:r>
              <w:rPr>
                <w:rFonts w:hint="default" w:eastAsia="宋体"/>
                <w:lang w:val="en-US" w:eastAsia="zh-CN"/>
              </w:rPr>
              <w:t>MRRT= skipped measurement time instances / total measurement time instances</w:t>
            </w:r>
          </w:p>
          <w:p>
            <w:pPr>
              <w:pStyle w:val="57"/>
              <w:numPr>
                <w:ilvl w:val="0"/>
                <w:numId w:val="0"/>
              </w:numPr>
              <w:spacing w:before="0" w:beforeLines="0"/>
              <w:ind w:left="600" w:leftChars="300" w:firstLine="0"/>
              <w:rPr>
                <w:rFonts w:hint="default" w:eastAsia="宋体"/>
                <w:lang w:val="en-US" w:eastAsia="zh-CN"/>
              </w:rPr>
            </w:pPr>
            <w:r>
              <w:rPr>
                <w:rFonts w:hint="default" w:eastAsia="宋体"/>
                <w:lang w:val="en-US" w:eastAsia="zh-CN"/>
              </w:rPr>
              <w:t>Measurement reduction rate in spatial domain (MRRS):</w:t>
            </w:r>
          </w:p>
          <w:p>
            <w:pPr>
              <w:pStyle w:val="57"/>
              <w:numPr>
                <w:ilvl w:val="0"/>
                <w:numId w:val="0"/>
              </w:numPr>
              <w:spacing w:before="0" w:beforeLines="0"/>
              <w:ind w:left="600" w:leftChars="300" w:firstLine="0"/>
              <w:rPr>
                <w:rFonts w:hint="default" w:eastAsia="宋体"/>
                <w:lang w:val="en-US" w:eastAsia="zh-CN"/>
              </w:rPr>
            </w:pPr>
            <w:r>
              <w:rPr>
                <w:rFonts w:hint="default" w:eastAsia="宋体"/>
                <w:lang w:val="en-US" w:eastAsia="zh-CN"/>
              </w:rPr>
              <w:t>MRRS = skipped beams to be measured/ total beams to be measured</w:t>
            </w:r>
          </w:p>
          <w:p>
            <w:pPr>
              <w:pStyle w:val="57"/>
              <w:numPr>
                <w:ilvl w:val="-1"/>
                <w:numId w:val="0"/>
              </w:numPr>
              <w:spacing w:before="0" w:beforeLines="0"/>
              <w:ind w:left="0" w:firstLine="0"/>
              <w:rPr>
                <w:rFonts w:hint="default" w:eastAsia="宋体"/>
                <w:lang w:val="en-US" w:eastAsia="zh-CN"/>
              </w:rPr>
            </w:pPr>
          </w:p>
        </w:tc>
      </w:tr>
    </w:tbl>
    <w:p>
      <w:pPr>
        <w:pStyle w:val="57"/>
        <w:spacing w:before="0" w:beforeLines="0" w:after="157" w:afterLines="50"/>
        <w:ind w:left="0" w:firstLine="0"/>
        <w:rPr>
          <w:rFonts w:hint="eastAsia" w:eastAsia="宋体"/>
          <w:lang w:val="en-US" w:eastAsia="zh-CN"/>
        </w:rPr>
      </w:pPr>
      <w:r>
        <w:rPr>
          <w:rFonts w:hint="eastAsia" w:eastAsia="宋体"/>
          <w:b w:val="0"/>
          <w:bCs w:val="0"/>
          <w:lang w:val="en-US" w:eastAsia="zh-CN"/>
        </w:rPr>
        <w:t xml:space="preserve">RAN2 has defined </w:t>
      </w:r>
      <w:r>
        <w:rPr>
          <w:rFonts w:hint="default" w:eastAsia="宋体"/>
          <w:lang w:val="en-US" w:eastAsia="zh-CN"/>
        </w:rPr>
        <w:t>measurement reduction for intra-frequency scenari</w:t>
      </w:r>
      <w:r>
        <w:rPr>
          <w:rFonts w:hint="eastAsia" w:eastAsia="宋体"/>
          <w:lang w:val="en-US" w:eastAsia="zh-CN"/>
        </w:rPr>
        <w:t xml:space="preserve">o, including MRRT and MRRS. </w:t>
      </w:r>
      <w:r>
        <w:rPr>
          <w:rFonts w:hint="default" w:eastAsia="宋体"/>
          <w:lang w:val="en-US" w:eastAsia="zh-CN"/>
        </w:rPr>
        <w:t>Measurement reduction rate in temporal domain (MRRT)</w:t>
      </w:r>
      <w:r>
        <w:rPr>
          <w:rFonts w:hint="eastAsia" w:eastAsia="宋体"/>
          <w:lang w:val="en-US" w:eastAsia="zh-CN"/>
        </w:rPr>
        <w:t xml:space="preserve"> is the ratio between </w:t>
      </w:r>
      <w:r>
        <w:rPr>
          <w:rFonts w:hint="default" w:eastAsia="宋体"/>
          <w:lang w:val="en-US" w:eastAsia="zh-CN"/>
        </w:rPr>
        <w:t>skipped measurement time instances</w:t>
      </w:r>
      <w:r>
        <w:rPr>
          <w:rFonts w:hint="eastAsia" w:eastAsia="宋体"/>
          <w:lang w:val="en-US" w:eastAsia="zh-CN"/>
        </w:rPr>
        <w:t xml:space="preserve"> and </w:t>
      </w:r>
      <w:r>
        <w:rPr>
          <w:rFonts w:hint="default" w:eastAsia="宋体"/>
          <w:lang w:val="en-US" w:eastAsia="zh-CN"/>
        </w:rPr>
        <w:t>total measurement time instances</w:t>
      </w:r>
      <w:r>
        <w:rPr>
          <w:rFonts w:hint="eastAsia" w:eastAsia="宋体"/>
          <w:lang w:val="en-US" w:eastAsia="zh-CN"/>
        </w:rPr>
        <w:t>, and m</w:t>
      </w:r>
      <w:r>
        <w:rPr>
          <w:rFonts w:hint="default" w:eastAsia="宋体"/>
          <w:lang w:val="en-US" w:eastAsia="zh-CN"/>
        </w:rPr>
        <w:t>easurement reduction rate in spatial domain (MRRS)</w:t>
      </w:r>
      <w:r>
        <w:rPr>
          <w:rFonts w:hint="eastAsia" w:eastAsia="宋体"/>
          <w:lang w:val="en-US" w:eastAsia="zh-CN"/>
        </w:rPr>
        <w:t xml:space="preserve"> is tha ratio between </w:t>
      </w:r>
      <w:r>
        <w:rPr>
          <w:rFonts w:hint="default" w:eastAsia="宋体"/>
          <w:lang w:val="en-US" w:eastAsia="zh-CN"/>
        </w:rPr>
        <w:t>skipped beams to be measured</w:t>
      </w:r>
      <w:r>
        <w:rPr>
          <w:rFonts w:hint="eastAsia" w:eastAsia="宋体"/>
          <w:lang w:val="en-US" w:eastAsia="zh-CN"/>
        </w:rPr>
        <w:t xml:space="preserve"> and</w:t>
      </w:r>
      <w:r>
        <w:rPr>
          <w:rFonts w:hint="default" w:eastAsia="宋体"/>
          <w:lang w:val="en-US" w:eastAsia="zh-CN"/>
        </w:rPr>
        <w:t xml:space="preserve"> total beams to be measured</w:t>
      </w:r>
      <w:r>
        <w:rPr>
          <w:rFonts w:hint="eastAsia" w:eastAsia="宋体"/>
          <w:lang w:val="en-US" w:eastAsia="zh-CN"/>
        </w:rPr>
        <w:t xml:space="preserve">. In our understanding, these two indicators can be used to evaluate the benefits brought by AI models in mobilioty. </w:t>
      </w:r>
    </w:p>
    <w:p>
      <w:pPr>
        <w:pStyle w:val="57"/>
        <w:spacing w:before="0" w:beforeLines="0" w:after="157" w:afterLines="50"/>
        <w:ind w:left="0" w:firstLine="0"/>
        <w:rPr>
          <w:rFonts w:hint="eastAsia" w:eastAsia="宋体"/>
          <w:b/>
          <w:bCs/>
          <w:lang w:val="en-US" w:eastAsia="zh-CN"/>
        </w:rPr>
      </w:pPr>
      <w:r>
        <w:rPr>
          <w:rFonts w:hint="eastAsia" w:eastAsia="宋体"/>
          <w:b/>
          <w:bCs/>
          <w:lang w:val="en-US" w:eastAsia="zh-CN"/>
        </w:rPr>
        <w:t xml:space="preserve">Proposal 5: RAN4 should </w:t>
      </w:r>
      <w:r>
        <w:rPr>
          <w:rFonts w:eastAsia="Yu Mincho"/>
          <w:b/>
          <w:bCs/>
        </w:rPr>
        <w:t xml:space="preserve">study the RRM impact of </w:t>
      </w:r>
      <w:r>
        <w:rPr>
          <w:rFonts w:hint="eastAsia" w:eastAsia="宋体"/>
          <w:b/>
          <w:bCs/>
          <w:lang w:val="en-US" w:eastAsia="zh-CN"/>
        </w:rPr>
        <w:t>MRRT and MRRS, which involve the number of skipped measurement instances and total measurement instances.</w:t>
      </w:r>
    </w:p>
    <w:p>
      <w:pPr>
        <w:spacing w:beforeLines="0" w:after="157" w:afterLines="50"/>
        <w:rPr>
          <w:rFonts w:hint="default" w:eastAsia="宋体"/>
          <w:b w:val="0"/>
          <w:bCs w:val="0"/>
          <w:lang w:val="en-US" w:eastAsia="zh-CN"/>
        </w:rPr>
      </w:pPr>
      <w:r>
        <w:rPr>
          <w:rFonts w:hint="eastAsia" w:eastAsia="宋体"/>
          <w:b w:val="0"/>
          <w:bCs w:val="0"/>
          <w:lang w:val="en-US" w:eastAsia="zh-CN"/>
        </w:rPr>
        <w:t xml:space="preserve">For RRM measurement prediction, we should discuss scenario 2, 3, 4 for cell level measurement prediction. </w:t>
      </w:r>
      <w:r>
        <w:rPr>
          <w:rFonts w:eastAsia="Yu Mincho"/>
        </w:rPr>
        <w:t>For intra-frequency temporal domain prediction</w:t>
      </w:r>
      <w:r>
        <w:rPr>
          <w:rFonts w:hint="eastAsia" w:eastAsia="宋体"/>
          <w:lang w:val="en-US" w:eastAsia="zh-CN"/>
        </w:rPr>
        <w:t>, both caseA and caseB</w:t>
      </w:r>
      <w:r>
        <w:rPr>
          <w:rFonts w:hint="eastAsia" w:eastAsia="宋体"/>
          <w:b w:val="0"/>
          <w:bCs w:val="0"/>
          <w:lang w:val="en-US" w:eastAsia="zh-CN"/>
        </w:rPr>
        <w:t>, it can observed that</w:t>
      </w:r>
      <w:r>
        <w:rPr>
          <w:rFonts w:eastAsia="Yu Mincho"/>
        </w:rPr>
        <w:t xml:space="preserve"> UE will skip some measurement occasions, which means that only subset of measurement occasions are measured so that SMTC and/or MGRP cannot be directly used in the measurement delay requirements as legacy</w:t>
      </w:r>
      <w:r>
        <w:rPr>
          <w:rFonts w:hint="eastAsia" w:eastAsia="宋体"/>
          <w:lang w:val="en-US" w:eastAsia="zh-CN"/>
        </w:rPr>
        <w:t xml:space="preserve">. </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rPr>
                <w:b/>
                <w:bCs/>
              </w:rPr>
            </w:pPr>
            <w:r>
              <w:rPr>
                <w:rFonts w:hint="eastAsia"/>
                <w:b/>
                <w:bCs/>
              </w:rPr>
              <w:t>I</w:t>
            </w:r>
            <w:r>
              <w:rPr>
                <w:b/>
                <w:bCs/>
              </w:rPr>
              <w:t>ntra-frequency temporal domain case A:</w:t>
            </w:r>
          </w:p>
          <w:p>
            <w:pPr>
              <w:spacing w:before="120" w:beforeLines="50"/>
            </w:pPr>
            <w:r>
              <w:t>In case A, continuous measurement results in prediction window are predicted by continuous historical measurement result(s) in observation window. Then observation window and prediction window slide forward with either one or more sampling periods (with sliding L1/L3 filtering option) or one or more measurement periods (with non-sliding L1/L3 filtering option), where measurement result(s) are actually measured before sliding.</w:t>
            </w:r>
          </w:p>
          <w:p>
            <w:pPr>
              <w:spacing w:before="120" w:beforeLines="50"/>
              <w:jc w:val="center"/>
            </w:pPr>
            <w:r>
              <w:object>
                <v:shape id="_x0000_i1025" o:spt="75" type="#_x0000_t75" style="height:118.75pt;width:239.5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o:LockedField>false</o:LockedField>
                </o:OLEObject>
              </w:object>
            </w:r>
          </w:p>
          <w:p>
            <w:pPr>
              <w:spacing w:before="120" w:beforeLines="50"/>
              <w:jc w:val="center"/>
            </w:pPr>
            <w:r>
              <w:t>Example of temporal domain case A</w:t>
            </w:r>
          </w:p>
          <w:p>
            <w:pPr>
              <w:rPr>
                <w:b/>
                <w:bCs/>
              </w:rPr>
            </w:pPr>
            <w:r>
              <w:rPr>
                <w:rFonts w:hint="eastAsia"/>
                <w:b/>
                <w:bCs/>
              </w:rPr>
              <w:t>I</w:t>
            </w:r>
            <w:r>
              <w:rPr>
                <w:b/>
                <w:bCs/>
              </w:rPr>
              <w:t>ntra-frequency temporal domain case B-To be discussed in Phase 2:</w:t>
            </w:r>
          </w:p>
          <w:p>
            <w:r>
              <w:t>In case B, measurement results in prediction window are predicted by historical measurement result(s) in observation window. Then observation window and prediction window slide forward with either sampling period(s) (with sliding L1/L3 filtering option) or measurement period(s) (with non-sliding L1/L3 filtering option) after measurement result(s) in previous prediction window is/are skipped.</w:t>
            </w:r>
          </w:p>
          <w:p>
            <w:pPr>
              <w:jc w:val="center"/>
              <w:rPr>
                <w:rFonts w:ascii="Times New Roman" w:hAnsi="Times New Roman" w:cs="Times New Roman"/>
              </w:rPr>
            </w:pPr>
            <w:r>
              <w:rPr>
                <w:rFonts w:ascii="Times New Roman" w:hAnsi="Times New Roman" w:cs="Times New Roman"/>
              </w:rPr>
              <w:object>
                <v:shape id="_x0000_i1027" o:spt="75" type="#_x0000_t75" style="height:76.6pt;width:154.4pt;" o:ole="t" filled="f" o:preferrelative="t" stroked="f" coordsize="21600,21600">
                  <v:path/>
                  <v:fill on="f" focussize="0,0"/>
                  <v:stroke on="f" joinstyle="miter"/>
                  <v:imagedata r:id="rId8" o:title=""/>
                  <o:lock v:ext="edit" aspectratio="t"/>
                  <w10:wrap type="none"/>
                  <w10:anchorlock/>
                </v:shape>
                <o:OLEObject Type="Embed" ProgID="Visio.Drawing.15" ShapeID="_x0000_i1027" DrawAspect="Content" ObjectID="_1468075726" r:id="rId7">
                  <o:LockedField>false</o:LockedField>
                </o:OLEObject>
              </w:object>
            </w:r>
          </w:p>
          <w:p>
            <w:pPr>
              <w:jc w:val="center"/>
              <w:rPr>
                <w:rFonts w:ascii="Times New Roman" w:hAnsi="Times New Roman" w:cs="Times New Roman"/>
                <w:sz w:val="20"/>
                <w:szCs w:val="20"/>
              </w:rPr>
            </w:pPr>
            <w:r>
              <w:rPr>
                <w:rFonts w:ascii="Times New Roman" w:hAnsi="Times New Roman" w:cs="Times New Roman"/>
                <w:sz w:val="20"/>
                <w:szCs w:val="20"/>
              </w:rPr>
              <w:t>Example 1 of intra-frequency temporal domain case B</w:t>
            </w:r>
          </w:p>
          <w:p>
            <w:pPr>
              <w:jc w:val="center"/>
              <w:rPr>
                <w:rFonts w:ascii="Times New Roman" w:hAnsi="Times New Roman" w:cs="Times New Roman"/>
              </w:rPr>
            </w:pPr>
            <w:r>
              <w:rPr>
                <w:rFonts w:ascii="Times New Roman" w:hAnsi="Times New Roman" w:cs="Times New Roman"/>
              </w:rPr>
              <w:object>
                <v:shape id="_x0000_i1028" o:spt="75" type="#_x0000_t75" style="height:75.35pt;width:156.5pt;" o:ole="t" filled="f" o:preferrelative="t" stroked="f" coordsize="21600,21600">
                  <v:path/>
                  <v:fill on="f" focussize="0,0"/>
                  <v:stroke on="f" joinstyle="miter"/>
                  <v:imagedata r:id="rId10" o:title=""/>
                  <o:lock v:ext="edit" aspectratio="t"/>
                  <w10:wrap type="none"/>
                  <w10:anchorlock/>
                </v:shape>
                <o:OLEObject Type="Embed" ProgID="Visio.Drawing.15" ShapeID="_x0000_i1028" DrawAspect="Content" ObjectID="_1468075727" r:id="rId9">
                  <o:LockedField>false</o:LockedField>
                </o:OLEObject>
              </w:object>
            </w:r>
          </w:p>
          <w:p>
            <w:pPr>
              <w:jc w:val="center"/>
              <w:rPr>
                <w:rFonts w:ascii="Times New Roman" w:hAnsi="Times New Roman" w:cs="Times New Roman"/>
                <w:sz w:val="20"/>
                <w:szCs w:val="20"/>
              </w:rPr>
            </w:pPr>
            <w:r>
              <w:rPr>
                <w:rFonts w:ascii="Times New Roman" w:hAnsi="Times New Roman" w:cs="Times New Roman"/>
                <w:sz w:val="20"/>
                <w:szCs w:val="20"/>
              </w:rPr>
              <w:t>Example 2 of intra-frequency temporal domain case B</w:t>
            </w:r>
          </w:p>
          <w:p>
            <w:pPr>
              <w:jc w:val="center"/>
              <w:rPr>
                <w:rFonts w:ascii="Times New Roman" w:hAnsi="Times New Roman" w:cs="Times New Roman"/>
                <w:b/>
                <w:bCs/>
                <w:sz w:val="20"/>
                <w:szCs w:val="20"/>
              </w:rPr>
            </w:pPr>
          </w:p>
          <w:p>
            <w:pPr>
              <w:pStyle w:val="57"/>
              <w:numPr>
                <w:ilvl w:val="-1"/>
                <w:numId w:val="0"/>
              </w:numPr>
              <w:ind w:left="0" w:firstLine="0"/>
            </w:pPr>
          </w:p>
        </w:tc>
      </w:tr>
    </w:tbl>
    <w:p>
      <w:pPr>
        <w:spacing w:after="157" w:afterLines="50"/>
        <w:rPr>
          <w:rFonts w:hint="default" w:eastAsia="宋体"/>
          <w:lang w:val="en-US" w:eastAsia="zh-CN"/>
        </w:rPr>
      </w:pPr>
      <w:r>
        <w:rPr>
          <w:rFonts w:hint="eastAsia" w:eastAsia="宋体"/>
          <w:lang w:val="en-US" w:eastAsia="zh-CN"/>
        </w:rPr>
        <w:t>For inter-frequency inter-cell (frequency domain), not all configured MOs need to be measurement, just need to consider the actually measurement frequency layers when we define measurement delay requirements. Thus, the CSSF assumptions need to be updated.</w:t>
      </w:r>
    </w:p>
    <w:p>
      <w:pPr>
        <w:spacing w:after="157" w:afterLines="50"/>
        <w:rPr>
          <w:rFonts w:hint="default" w:eastAsia="宋体"/>
          <w:b/>
          <w:bCs/>
          <w:lang w:val="en-US" w:eastAsia="zh-CN"/>
        </w:rPr>
      </w:pPr>
      <w:r>
        <w:rPr>
          <w:rFonts w:hint="eastAsia" w:eastAsia="宋体"/>
          <w:b/>
          <w:bCs/>
          <w:lang w:val="en-US" w:eastAsia="zh-CN"/>
        </w:rPr>
        <w:t>Observation 4: Compared with legacy measurement delay requirements, number of actual measured samples and frequency layers are different, which will impact measurement requirements.</w:t>
      </w:r>
    </w:p>
    <w:p>
      <w:pPr>
        <w:spacing w:after="157" w:afterLines="50"/>
        <w:rPr>
          <w:rFonts w:hint="default" w:eastAsia="Times New Roman"/>
          <w:b/>
          <w:bCs/>
          <w:color w:val="000000" w:themeColor="text1"/>
          <w:lang w:val="en-US" w:eastAsia="zh-CN"/>
          <w14:textFill>
            <w14:solidFill>
              <w14:schemeClr w14:val="tx1"/>
            </w14:solidFill>
          </w14:textFill>
        </w:rPr>
      </w:pPr>
      <w:r>
        <w:rPr>
          <w:rFonts w:hint="eastAsia" w:eastAsia="宋体"/>
          <w:b/>
          <w:bCs/>
          <w:lang w:val="en-US" w:eastAsia="zh-CN"/>
        </w:rPr>
        <w:t>Proposal 6: RAN4 should discuss whether/how to update measurement delay requirements for AI/ML mobility.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monility</w:t>
      </w:r>
      <w:r>
        <w:rPr>
          <w:rFonts w:eastAsia="宋体"/>
          <w:bCs/>
          <w:color w:val="auto"/>
          <w:sz w:val="20"/>
          <w:szCs w:val="20"/>
          <w:lang w:val="en-GB" w:eastAsia="zh-CN"/>
        </w:rPr>
        <w:t>:</w:t>
      </w:r>
    </w:p>
    <w:p>
      <w:pPr>
        <w:pStyle w:val="57"/>
        <w:spacing w:before="0" w:beforeLines="0" w:after="157" w:afterLines="50"/>
        <w:ind w:left="0" w:firstLine="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Proposal 1: RAN4 should discuss whether prediction accuracy requirement defined at point C could be used for point A1.</w:t>
      </w:r>
    </w:p>
    <w:p>
      <w:pPr>
        <w:pStyle w:val="57"/>
        <w:spacing w:before="0" w:beforeLines="0" w:after="157" w:afterLines="50"/>
        <w:ind w:left="0" w:firstLine="0"/>
        <w:rPr>
          <w:rFonts w:hint="eastAsia"/>
          <w:b/>
          <w:bCs/>
          <w:szCs w:val="20"/>
          <w:lang w:val="en-US" w:eastAsia="zh-CN"/>
        </w:rPr>
      </w:pPr>
      <w:r>
        <w:rPr>
          <w:rFonts w:hint="eastAsia"/>
          <w:b/>
          <w:bCs/>
          <w:szCs w:val="20"/>
          <w:lang w:val="en-US" w:eastAsia="zh-CN"/>
        </w:rPr>
        <w:t>Observation1: Both cell level measurement prediction and beam level measurement prediction are within the scope of RRM measurement prediction. And according to RAN2</w:t>
      </w:r>
      <w:r>
        <w:rPr>
          <w:rFonts w:hint="default"/>
          <w:b/>
          <w:bCs/>
          <w:szCs w:val="20"/>
          <w:lang w:val="en-US" w:eastAsia="zh-CN"/>
        </w:rPr>
        <w:t>’</w:t>
      </w:r>
      <w:r>
        <w:rPr>
          <w:rFonts w:hint="eastAsia"/>
          <w:b/>
          <w:bCs/>
          <w:szCs w:val="20"/>
          <w:lang w:val="en-US" w:eastAsia="zh-CN"/>
        </w:rPr>
        <w:t xml:space="preserve">s agreements, </w:t>
      </w:r>
      <w:r>
        <w:rPr>
          <w:rFonts w:hint="eastAsia"/>
          <w:b/>
          <w:bCs/>
        </w:rPr>
        <w:t>L3 filtered beam level prediction cases are lower priority</w:t>
      </w:r>
      <w:r>
        <w:rPr>
          <w:rFonts w:hint="eastAsia"/>
          <w:b/>
          <w:bCs/>
          <w:szCs w:val="20"/>
          <w:lang w:val="en-US" w:eastAsia="zh-CN"/>
        </w:rPr>
        <w:t xml:space="preserve"> and companies should focus on FR2-to-FR2 intra-frequency temporal domain prediction caseA (scenario 4).</w:t>
      </w:r>
    </w:p>
    <w:p>
      <w:pPr>
        <w:pStyle w:val="57"/>
        <w:spacing w:beforeLines="0" w:after="157" w:afterLines="50"/>
        <w:ind w:left="0" w:firstLine="0"/>
        <w:rPr>
          <w:rFonts w:hint="eastAsia" w:eastAsia="宋体"/>
          <w:b/>
          <w:bCs/>
          <w:lang w:val="en-US" w:eastAsia="zh-CN"/>
        </w:rPr>
      </w:pPr>
      <w:r>
        <w:rPr>
          <w:rFonts w:hint="eastAsia" w:eastAsia="宋体"/>
          <w:b/>
          <w:bCs/>
          <w:lang w:val="en-US" w:eastAsia="zh-CN"/>
        </w:rPr>
        <w:t>Proposal 2：RAN4 to deprioritize studying the impacts on requirements for L3 beam-level prediction, the definition of prediction accuracy for point E will correspondingly be given low priority.</w:t>
      </w:r>
    </w:p>
    <w:p>
      <w:pPr>
        <w:pStyle w:val="57"/>
        <w:spacing w:beforeLines="0" w:after="157" w:afterLines="50"/>
        <w:ind w:left="0" w:firstLine="0"/>
        <w:rPr>
          <w:rFonts w:hint="default" w:eastAsia="宋体"/>
          <w:b w:val="0"/>
          <w:bCs w:val="0"/>
          <w:color w:val="auto"/>
          <w:lang w:val="en-US" w:eastAsia="zh-CN"/>
        </w:rPr>
      </w:pPr>
      <w:r>
        <w:rPr>
          <w:rFonts w:hint="eastAsia" w:eastAsia="宋体"/>
          <w:b/>
          <w:bCs/>
          <w:color w:val="auto"/>
          <w:lang w:val="en-US" w:eastAsia="zh-CN"/>
        </w:rPr>
        <w:t>Proposal 3: Beam 1 and Beam 2 can be from same cell or different cells. For temproal prediction, measurement and prediction occur in the same cell, while for frequency prediction, measurement and prediction occur in different cells.</w:t>
      </w:r>
    </w:p>
    <w:p>
      <w:pPr>
        <w:pStyle w:val="57"/>
        <w:spacing w:beforeLines="0" w:after="157" w:afterLines="50"/>
        <w:ind w:left="0" w:firstLine="0"/>
        <w:rPr>
          <w:rFonts w:hint="eastAsia" w:eastAsia="宋体"/>
          <w:b/>
          <w:bCs/>
          <w:color w:val="auto"/>
          <w:lang w:val="en-US" w:eastAsia="zh-CN"/>
        </w:rPr>
      </w:pPr>
      <w:r>
        <w:rPr>
          <w:rFonts w:hint="eastAsia" w:eastAsia="宋体"/>
          <w:b/>
          <w:bCs/>
          <w:color w:val="auto"/>
          <w:lang w:val="en-US" w:eastAsia="zh-CN"/>
        </w:rPr>
        <w:t>Onservation 2: For FR2, the definiation of ground truth on R19 AI BM has been reused as baseline, that is, the ground truth of L3 RPRP is the reported L3 RSRP measurement under sufficient high SNR in FR2.</w:t>
      </w:r>
    </w:p>
    <w:p>
      <w:pPr>
        <w:spacing w:after="157" w:afterLines="50"/>
        <w:rPr>
          <w:rFonts w:hint="eastAsia" w:eastAsia="宋体"/>
          <w:b/>
          <w:bCs/>
          <w:lang w:val="en-US" w:eastAsia="zh-CN"/>
        </w:rPr>
      </w:pPr>
      <w:r>
        <w:rPr>
          <w:rFonts w:hint="eastAsia" w:eastAsia="宋体"/>
          <w:b/>
          <w:bCs/>
          <w:lang w:val="en-US" w:eastAsia="zh-CN"/>
        </w:rPr>
        <w:t xml:space="preserve">Proposal 4: For FR1, the transmitted power can be used as baseline for the definition on ground truth of L3-RSRP, which is obtained as the legacy way of conducted test. </w:t>
      </w:r>
    </w:p>
    <w:p>
      <w:pPr>
        <w:spacing w:after="157" w:afterLines="50"/>
        <w:rPr>
          <w:rFonts w:hint="eastAsia" w:eastAsia="宋体"/>
          <w:b/>
          <w:bCs/>
          <w:lang w:val="en-US" w:eastAsia="zh-CN"/>
        </w:rPr>
      </w:pPr>
      <w:r>
        <w:rPr>
          <w:rFonts w:hint="eastAsia" w:eastAsia="宋体"/>
          <w:b/>
          <w:bCs/>
          <w:lang w:val="en-US" w:eastAsia="zh-CN"/>
        </w:rPr>
        <w:t>Observation 3: If the definition</w:t>
      </w:r>
      <w:r>
        <w:rPr>
          <w:rFonts w:hint="eastAsia" w:eastAsia="宋体"/>
          <w:b/>
          <w:bCs/>
          <w:lang w:val="en-GB" w:eastAsia="zh-CN"/>
        </w:rPr>
        <w:t xml:space="preserve"> of relative RSRP</w:t>
      </w:r>
      <w:r>
        <w:rPr>
          <w:rFonts w:hint="eastAsia" w:eastAsia="宋体"/>
          <w:b/>
          <w:bCs/>
          <w:lang w:val="en-US" w:eastAsia="zh-CN"/>
        </w:rPr>
        <w:t xml:space="preserve"> is completed according to the description of legacy, it will involve two prediction results, and the relationship between these two prediction results in temproal domain prediction needs to be clarified.</w:t>
      </w:r>
    </w:p>
    <w:p>
      <w:pPr>
        <w:spacing w:after="157" w:afterLines="50"/>
        <w:rPr>
          <w:rFonts w:hint="eastAsia" w:eastAsia="宋体"/>
          <w:b/>
          <w:bCs/>
          <w:lang w:val="en-US" w:eastAsia="zh-CN"/>
        </w:rPr>
      </w:pPr>
      <w:r>
        <w:rPr>
          <w:rFonts w:hint="eastAsia" w:eastAsia="宋体"/>
          <w:b/>
          <w:bCs/>
          <w:lang w:val="en-US" w:eastAsia="zh-CN"/>
        </w:rPr>
        <w:t>Proposal 5: RAN4 should study the RRM impact of MRRT and MRRS, which involve the number of skipped measurement instances and total measurement instances.</w:t>
      </w:r>
    </w:p>
    <w:p>
      <w:pPr>
        <w:spacing w:after="157" w:afterLines="50"/>
        <w:rPr>
          <w:rFonts w:hint="default" w:eastAsia="宋体"/>
          <w:b/>
          <w:bCs/>
          <w:lang w:val="en-US" w:eastAsia="zh-CN"/>
        </w:rPr>
      </w:pPr>
      <w:r>
        <w:rPr>
          <w:rFonts w:hint="eastAsia" w:eastAsia="宋体"/>
          <w:b/>
          <w:bCs/>
          <w:lang w:val="en-US" w:eastAsia="zh-CN"/>
        </w:rPr>
        <w:t>Observation 4: Compared with legacy measurement delay requirements, number of actual measured samples and frequency layers are different, which will impact measurement requirements.</w:t>
      </w:r>
    </w:p>
    <w:p>
      <w:r>
        <w:rPr>
          <w:rFonts w:hint="eastAsia" w:eastAsia="宋体"/>
          <w:b/>
          <w:bCs/>
          <w:lang w:val="en-US" w:eastAsia="zh-CN"/>
        </w:rPr>
        <w:t>Proposal 6: RAN4 should discuss whether/how to update measurement delay requirements for AI/ML mobility.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6"/>
        </w:numPr>
        <w:ind w:left="0" w:leftChars="0" w:firstLine="0" w:firstLineChars="0"/>
        <w:rPr>
          <w:rFonts w:hint="eastAsia"/>
          <w:lang w:val="en-US" w:eastAsia="zh-CN"/>
        </w:rPr>
      </w:pPr>
      <w:bookmarkStart w:id="1" w:name="_Ref101451885"/>
      <w:r>
        <w:rPr>
          <w:rFonts w:hint="eastAsia"/>
          <w:lang w:val="en-US" w:eastAsia="zh-CN"/>
        </w:rPr>
        <w:t xml:space="preserve">RP-242393, Revised SID on AIML for mobility in NR , </w:t>
      </w:r>
      <w:bookmarkEnd w:id="1"/>
      <w:r>
        <w:rPr>
          <w:rFonts w:hint="eastAsia"/>
          <w:lang w:val="en-US" w:eastAsia="zh-CN"/>
        </w:rPr>
        <w:t>OPPO (rapporteur)</w:t>
      </w:r>
    </w:p>
    <w:p>
      <w:pPr>
        <w:pStyle w:val="9"/>
        <w:numPr>
          <w:ilvl w:val="0"/>
          <w:numId w:val="6"/>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"ftp://10.10.10.10/ftp/tsg_ran/WG4_Radio/TSGR4_113/Inbox/R4-2420095.zip" </w:instrText>
      </w:r>
      <w:r>
        <w:rPr>
          <w:rFonts w:hint="eastAsia"/>
          <w:lang w:val="en-US" w:eastAsia="zh-CN"/>
        </w:rPr>
        <w:fldChar w:fldCharType="separate"/>
      </w:r>
      <w:r>
        <w:rPr>
          <w:rFonts w:hint="eastAsia"/>
          <w:lang w:val="en-US" w:eastAsia="zh-CN"/>
        </w:rPr>
        <w:t>R4-2420095</w:t>
      </w:r>
      <w:r>
        <w:rPr>
          <w:rFonts w:hint="eastAsia"/>
          <w:lang w:val="en-US" w:eastAsia="zh-CN"/>
        </w:rPr>
        <w:fldChar w:fldCharType="end"/>
      </w:r>
      <w:r>
        <w:rPr>
          <w:rFonts w:hint="eastAsia"/>
          <w:lang w:val="en-US" w:eastAsia="zh-CN"/>
        </w:rPr>
        <w:t>, WF on RRM requirements for FS_NR_AIML_Mob, Nokia</w:t>
      </w:r>
    </w:p>
    <w:p>
      <w:pPr>
        <w:pStyle w:val="9"/>
        <w:numPr>
          <w:ilvl w:val="0"/>
          <w:numId w:val="6"/>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"ftp://10.10.10.10/ftp/tsg_ran/WG4_Radio/TSGR4_112bis/Inbox/R4-2416855.zip" </w:instrText>
      </w:r>
      <w:r>
        <w:rPr>
          <w:rFonts w:hint="eastAsia"/>
          <w:lang w:val="en-US" w:eastAsia="zh-CN"/>
        </w:rPr>
        <w:fldChar w:fldCharType="separate"/>
      </w:r>
      <w:r>
        <w:rPr>
          <w:rFonts w:hint="eastAsia"/>
          <w:lang w:val="en-US" w:eastAsia="zh-CN"/>
        </w:rPr>
        <w:t>R4-2416855</w:t>
      </w:r>
      <w:r>
        <w:rPr>
          <w:rFonts w:hint="eastAsia"/>
          <w:lang w:val="en-US" w:eastAsia="zh-CN"/>
        </w:rPr>
        <w:fldChar w:fldCharType="end"/>
      </w:r>
      <w:r>
        <w:rPr>
          <w:rFonts w:hint="eastAsia"/>
          <w:lang w:val="en-US" w:eastAsia="zh-CN"/>
        </w:rPr>
        <w:t>, WF on RRM requirements for FS_NR_AIML_Mob, Nokia</w:t>
      </w:r>
    </w:p>
    <w:p>
      <w:pPr>
        <w:pStyle w:val="9"/>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398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569E2"/>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E72571D"/>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5ED3E9B"/>
    <w:rsid w:val="164514BE"/>
    <w:rsid w:val="166B2EA9"/>
    <w:rsid w:val="16D4089E"/>
    <w:rsid w:val="16E73296"/>
    <w:rsid w:val="16FB7CA4"/>
    <w:rsid w:val="170F06AA"/>
    <w:rsid w:val="171D4EE1"/>
    <w:rsid w:val="17225508"/>
    <w:rsid w:val="17B07FBC"/>
    <w:rsid w:val="17E206E8"/>
    <w:rsid w:val="180A6E32"/>
    <w:rsid w:val="183F2CD2"/>
    <w:rsid w:val="1856323E"/>
    <w:rsid w:val="18AF55E3"/>
    <w:rsid w:val="18B077E2"/>
    <w:rsid w:val="18B1519A"/>
    <w:rsid w:val="18CD0507"/>
    <w:rsid w:val="18F36BA5"/>
    <w:rsid w:val="195D7D48"/>
    <w:rsid w:val="19E860DA"/>
    <w:rsid w:val="1A2002D5"/>
    <w:rsid w:val="1A4D6B0A"/>
    <w:rsid w:val="1AD01A1B"/>
    <w:rsid w:val="1AF84F97"/>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E132F88"/>
    <w:rsid w:val="1E2867E9"/>
    <w:rsid w:val="1E853F6F"/>
    <w:rsid w:val="1E9C7BCC"/>
    <w:rsid w:val="1ECC1E3C"/>
    <w:rsid w:val="1EED3918"/>
    <w:rsid w:val="1F8964CB"/>
    <w:rsid w:val="1FDF19B2"/>
    <w:rsid w:val="207F09D0"/>
    <w:rsid w:val="208364FC"/>
    <w:rsid w:val="208953F9"/>
    <w:rsid w:val="2097232D"/>
    <w:rsid w:val="21014C39"/>
    <w:rsid w:val="21244EB1"/>
    <w:rsid w:val="213964D8"/>
    <w:rsid w:val="21595D04"/>
    <w:rsid w:val="219342A7"/>
    <w:rsid w:val="21F13629"/>
    <w:rsid w:val="22133DA0"/>
    <w:rsid w:val="223236B6"/>
    <w:rsid w:val="2255462C"/>
    <w:rsid w:val="2284103E"/>
    <w:rsid w:val="22F779CA"/>
    <w:rsid w:val="2305377E"/>
    <w:rsid w:val="233B2CEF"/>
    <w:rsid w:val="23901822"/>
    <w:rsid w:val="23A0500A"/>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DE781D"/>
    <w:rsid w:val="2936242A"/>
    <w:rsid w:val="29642C4B"/>
    <w:rsid w:val="299B7242"/>
    <w:rsid w:val="2A34628C"/>
    <w:rsid w:val="2A724D05"/>
    <w:rsid w:val="2A7E505C"/>
    <w:rsid w:val="2AC85686"/>
    <w:rsid w:val="2AD04B5F"/>
    <w:rsid w:val="2B827A70"/>
    <w:rsid w:val="2BC05B2C"/>
    <w:rsid w:val="2BD319CC"/>
    <w:rsid w:val="2BD617C5"/>
    <w:rsid w:val="2C112837"/>
    <w:rsid w:val="2C5D1885"/>
    <w:rsid w:val="2C974249"/>
    <w:rsid w:val="2C9B1252"/>
    <w:rsid w:val="2C9C2786"/>
    <w:rsid w:val="2C9E7C7C"/>
    <w:rsid w:val="2CC13667"/>
    <w:rsid w:val="2DC615EA"/>
    <w:rsid w:val="2E014790"/>
    <w:rsid w:val="2E6A7558"/>
    <w:rsid w:val="2EE77680"/>
    <w:rsid w:val="2EF850E2"/>
    <w:rsid w:val="2F2F0FC8"/>
    <w:rsid w:val="2F371BBC"/>
    <w:rsid w:val="2FA70460"/>
    <w:rsid w:val="301C6BB6"/>
    <w:rsid w:val="30230CE6"/>
    <w:rsid w:val="308B0627"/>
    <w:rsid w:val="30A55BC4"/>
    <w:rsid w:val="30C9008F"/>
    <w:rsid w:val="319708F2"/>
    <w:rsid w:val="31A2530D"/>
    <w:rsid w:val="31A8260E"/>
    <w:rsid w:val="31B14C9E"/>
    <w:rsid w:val="31F7164A"/>
    <w:rsid w:val="332B149D"/>
    <w:rsid w:val="335E31CF"/>
    <w:rsid w:val="33C522D7"/>
    <w:rsid w:val="344C156B"/>
    <w:rsid w:val="34807672"/>
    <w:rsid w:val="35B06C6A"/>
    <w:rsid w:val="35C06303"/>
    <w:rsid w:val="366149EB"/>
    <w:rsid w:val="36941AA2"/>
    <w:rsid w:val="36D37423"/>
    <w:rsid w:val="373E4973"/>
    <w:rsid w:val="379D23F9"/>
    <w:rsid w:val="37BB1F70"/>
    <w:rsid w:val="381D4A5A"/>
    <w:rsid w:val="38526B5E"/>
    <w:rsid w:val="3A16681E"/>
    <w:rsid w:val="3A185287"/>
    <w:rsid w:val="3A1F46B8"/>
    <w:rsid w:val="3A286675"/>
    <w:rsid w:val="3A692CD0"/>
    <w:rsid w:val="3A7F53CD"/>
    <w:rsid w:val="3AAE4AA7"/>
    <w:rsid w:val="3AF23299"/>
    <w:rsid w:val="3B22382B"/>
    <w:rsid w:val="3B270929"/>
    <w:rsid w:val="3B3D5571"/>
    <w:rsid w:val="3B673620"/>
    <w:rsid w:val="3B9A1F29"/>
    <w:rsid w:val="3C186C8B"/>
    <w:rsid w:val="3C6C0684"/>
    <w:rsid w:val="3C6E311D"/>
    <w:rsid w:val="3C761845"/>
    <w:rsid w:val="3CE4646B"/>
    <w:rsid w:val="3CFC1228"/>
    <w:rsid w:val="3D5E7AA8"/>
    <w:rsid w:val="3D6F2596"/>
    <w:rsid w:val="3D946587"/>
    <w:rsid w:val="3ECD719A"/>
    <w:rsid w:val="401C75FF"/>
    <w:rsid w:val="405F175E"/>
    <w:rsid w:val="406E32F1"/>
    <w:rsid w:val="40C765F3"/>
    <w:rsid w:val="40E90626"/>
    <w:rsid w:val="41252753"/>
    <w:rsid w:val="41D66391"/>
    <w:rsid w:val="42EE7231"/>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D52ED"/>
    <w:rsid w:val="4C860169"/>
    <w:rsid w:val="4C8637A6"/>
    <w:rsid w:val="4C864A35"/>
    <w:rsid w:val="4D207A05"/>
    <w:rsid w:val="4D521CE7"/>
    <w:rsid w:val="4D53283E"/>
    <w:rsid w:val="4D9D5EF9"/>
    <w:rsid w:val="4E015C76"/>
    <w:rsid w:val="4E310026"/>
    <w:rsid w:val="4E4A2325"/>
    <w:rsid w:val="4ED42F55"/>
    <w:rsid w:val="4EFF121C"/>
    <w:rsid w:val="4F47179A"/>
    <w:rsid w:val="4FC7362A"/>
    <w:rsid w:val="501941E2"/>
    <w:rsid w:val="501A6C55"/>
    <w:rsid w:val="501F4AA3"/>
    <w:rsid w:val="506F53F0"/>
    <w:rsid w:val="50FF2EDD"/>
    <w:rsid w:val="515B1740"/>
    <w:rsid w:val="51A3627A"/>
    <w:rsid w:val="51B14BED"/>
    <w:rsid w:val="51E51984"/>
    <w:rsid w:val="52526454"/>
    <w:rsid w:val="525C1CEF"/>
    <w:rsid w:val="528B5767"/>
    <w:rsid w:val="52D33625"/>
    <w:rsid w:val="52D962FB"/>
    <w:rsid w:val="530D0D17"/>
    <w:rsid w:val="53A3105E"/>
    <w:rsid w:val="53C64B93"/>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B0E7A56"/>
    <w:rsid w:val="5B7E458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3143D77"/>
    <w:rsid w:val="635902CD"/>
    <w:rsid w:val="63DA1C8E"/>
    <w:rsid w:val="64706BBE"/>
    <w:rsid w:val="64D91611"/>
    <w:rsid w:val="64F03EAD"/>
    <w:rsid w:val="64F2095B"/>
    <w:rsid w:val="652B262D"/>
    <w:rsid w:val="658A3829"/>
    <w:rsid w:val="65A11F4C"/>
    <w:rsid w:val="65A16A49"/>
    <w:rsid w:val="67A858DB"/>
    <w:rsid w:val="67FE4166"/>
    <w:rsid w:val="68070F5D"/>
    <w:rsid w:val="682048A9"/>
    <w:rsid w:val="68425CDE"/>
    <w:rsid w:val="68807533"/>
    <w:rsid w:val="68C401C3"/>
    <w:rsid w:val="6912549A"/>
    <w:rsid w:val="69A833BD"/>
    <w:rsid w:val="69EF6835"/>
    <w:rsid w:val="6B877BD0"/>
    <w:rsid w:val="6BAA6221"/>
    <w:rsid w:val="6BAB7FC7"/>
    <w:rsid w:val="6BB457E7"/>
    <w:rsid w:val="6CEF4498"/>
    <w:rsid w:val="6D301A35"/>
    <w:rsid w:val="6D566F0F"/>
    <w:rsid w:val="6D836F72"/>
    <w:rsid w:val="6DBB5F10"/>
    <w:rsid w:val="6DDE3DAF"/>
    <w:rsid w:val="6DE731FD"/>
    <w:rsid w:val="6E3241BE"/>
    <w:rsid w:val="6E774C75"/>
    <w:rsid w:val="6EB97A9D"/>
    <w:rsid w:val="6EE97682"/>
    <w:rsid w:val="6EF10A90"/>
    <w:rsid w:val="6EFC7DED"/>
    <w:rsid w:val="6F2171DB"/>
    <w:rsid w:val="6F2A7FBF"/>
    <w:rsid w:val="6FFF1868"/>
    <w:rsid w:val="7007017A"/>
    <w:rsid w:val="702C760F"/>
    <w:rsid w:val="71127F1A"/>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B76769"/>
    <w:rsid w:val="73D411F1"/>
    <w:rsid w:val="73D9424B"/>
    <w:rsid w:val="74A356B2"/>
    <w:rsid w:val="74E16B09"/>
    <w:rsid w:val="753811DE"/>
    <w:rsid w:val="75626EA8"/>
    <w:rsid w:val="759A0161"/>
    <w:rsid w:val="759E4D19"/>
    <w:rsid w:val="75BE67D4"/>
    <w:rsid w:val="75C2004C"/>
    <w:rsid w:val="75C759C1"/>
    <w:rsid w:val="76281B03"/>
    <w:rsid w:val="762D64F3"/>
    <w:rsid w:val="762E20AD"/>
    <w:rsid w:val="764219EA"/>
    <w:rsid w:val="767E7EFF"/>
    <w:rsid w:val="775B4604"/>
    <w:rsid w:val="77C067C3"/>
    <w:rsid w:val="78074939"/>
    <w:rsid w:val="787D6B02"/>
    <w:rsid w:val="78911E31"/>
    <w:rsid w:val="78F9732D"/>
    <w:rsid w:val="7922350F"/>
    <w:rsid w:val="792B5470"/>
    <w:rsid w:val="79614DB5"/>
    <w:rsid w:val="796B3C3F"/>
    <w:rsid w:val="79A66350"/>
    <w:rsid w:val="7A8F711B"/>
    <w:rsid w:val="7A9367CB"/>
    <w:rsid w:val="7AAE3BAD"/>
    <w:rsid w:val="7AF22571"/>
    <w:rsid w:val="7B0720CF"/>
    <w:rsid w:val="7B3235F6"/>
    <w:rsid w:val="7B4C0E47"/>
    <w:rsid w:val="7B69224B"/>
    <w:rsid w:val="7BE80F25"/>
    <w:rsid w:val="7C1C35A7"/>
    <w:rsid w:val="7C45431D"/>
    <w:rsid w:val="7C6B73A1"/>
    <w:rsid w:val="7CEB2E8D"/>
    <w:rsid w:val="7CEF4E07"/>
    <w:rsid w:val="7D25352B"/>
    <w:rsid w:val="7D3219D5"/>
    <w:rsid w:val="7D4C1B15"/>
    <w:rsid w:val="7DDD0501"/>
    <w:rsid w:val="7DE51372"/>
    <w:rsid w:val="7E35461F"/>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basedOn w:val="18"/>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Doc-text2"/>
    <w:basedOn w:val="1"/>
    <w:qFormat/>
    <w:uiPriority w:val="0"/>
    <w:pPr>
      <w:tabs>
        <w:tab w:val="left" w:pos="1622"/>
      </w:tabs>
      <w:ind w:left="1622" w:hanging="363"/>
    </w:pPr>
  </w:style>
  <w:style w:type="paragraph" w:customStyle="1" w:styleId="58">
    <w:name w:val="Doc-comment"/>
    <w:basedOn w:val="1"/>
    <w:next w:val="57"/>
    <w:qFormat/>
    <w:uiPriority w:val="0"/>
    <w:pPr>
      <w:tabs>
        <w:tab w:val="left" w:pos="1622"/>
      </w:tabs>
      <w:ind w:left="1622" w:hanging="363"/>
    </w:pPr>
    <w:rPr>
      <w:i/>
    </w:rPr>
  </w:style>
  <w:style w:type="paragraph" w:customStyle="1" w:styleId="59">
    <w:name w:val="3GPP Normal Text"/>
    <w:basedOn w:val="4"/>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3.emf"/><Relationship Id="rId7" Type="http://schemas.openxmlformats.org/officeDocument/2006/relationships/oleObject" Target="embeddings/oleObject1.bin"/><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8</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Wu Yan (ZTE)</cp:lastModifiedBy>
  <cp:lastPrinted>2015-02-02T11:17:00Z</cp:lastPrinted>
  <dcterms:modified xsi:type="dcterms:W3CDTF">2025-03-28T08:37:30Z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CA963891E6A64C62A2108D58441820E5</vt:lpwstr>
  </property>
</Properties>
</file>